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3645" w:rsidRDefault="00F73645" w:rsidP="00F73645">
      <w:pPr>
        <w:rPr>
          <w:rFonts w:hint="cs"/>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F73645" w:rsidTr="00F73645">
        <w:trPr>
          <w:trHeight w:val="295"/>
          <w:jc w:val="center"/>
        </w:trPr>
        <w:tc>
          <w:tcPr>
            <w:tcW w:w="5049" w:type="dxa"/>
            <w:gridSpan w:val="3"/>
          </w:tcPr>
          <w:p w:rsidR="00F73645" w:rsidRDefault="00F73645">
            <w:pPr>
              <w:rPr>
                <w:rFonts w:ascii="Arial" w:hAnsi="Arial"/>
                <w:b/>
                <w:bCs/>
                <w:noProof w:val="0"/>
                <w:sz w:val="26"/>
                <w:szCs w:val="26"/>
                <w:rtl/>
              </w:rPr>
            </w:pPr>
          </w:p>
        </w:tc>
        <w:tc>
          <w:tcPr>
            <w:tcW w:w="3771" w:type="dxa"/>
            <w:hideMark/>
          </w:tcPr>
          <w:p w:rsidR="00F73645" w:rsidRDefault="00F73645">
            <w:pPr>
              <w:jc w:val="right"/>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1543127465"/>
                <w:text w:multiLine="1"/>
              </w:sdtPr>
              <w:sdtEndPr/>
              <w:sdtContent>
                <w:r>
                  <w:rPr>
                    <w:rFonts w:ascii="Arial" w:hAnsi="Arial"/>
                    <w:b/>
                    <w:bCs/>
                    <w:noProof w:val="0"/>
                    <w:sz w:val="26"/>
                    <w:szCs w:val="26"/>
                    <w:rtl/>
                  </w:rPr>
                  <w:t>4</w:t>
                </w:r>
              </w:sdtContent>
            </w:sdt>
          </w:p>
        </w:tc>
      </w:tr>
      <w:tr w:rsidR="00F73645" w:rsidTr="00F73645">
        <w:trPr>
          <w:jc w:val="center"/>
        </w:trPr>
        <w:tc>
          <w:tcPr>
            <w:tcW w:w="743" w:type="dxa"/>
            <w:hideMark/>
          </w:tcPr>
          <w:p w:rsidR="00F73645" w:rsidRDefault="00F73645">
            <w:pPr>
              <w:jc w:val="both"/>
              <w:rPr>
                <w:rFonts w:ascii="Arial" w:hAnsi="Arial"/>
                <w:b/>
                <w:bCs/>
                <w:rtl/>
              </w:rPr>
            </w:pPr>
            <w:r>
              <w:rPr>
                <w:rFonts w:ascii="Arial" w:hAnsi="Arial"/>
                <w:b/>
                <w:bCs/>
                <w:rtl/>
              </w:rPr>
              <w:t xml:space="preserve">בפני </w:t>
            </w:r>
          </w:p>
        </w:tc>
        <w:tc>
          <w:tcPr>
            <w:tcW w:w="8077" w:type="dxa"/>
            <w:gridSpan w:val="3"/>
          </w:tcPr>
          <w:p w:rsidR="00F73645" w:rsidRDefault="00F73645">
            <w:pPr>
              <w:rPr>
                <w:rFonts w:ascii="Arial" w:hAnsi="Arial"/>
                <w:b/>
                <w:bCs/>
              </w:rPr>
            </w:pPr>
            <w:r>
              <w:rPr>
                <w:rFonts w:ascii="Arial" w:hAnsi="Arial"/>
                <w:b/>
                <w:bCs/>
                <w:rtl/>
              </w:rPr>
              <w:t>כב' ה</w:t>
            </w:r>
            <w:sdt>
              <w:sdtPr>
                <w:rPr>
                  <w:rtl/>
                </w:rPr>
                <w:alias w:val="1574"/>
                <w:tag w:val="1574"/>
                <w:id w:val="874660890"/>
                <w:text w:multiLine="1"/>
              </w:sdtPr>
              <w:sdtEndPr/>
              <w:sdtContent>
                <w:r>
                  <w:rPr>
                    <w:rFonts w:ascii="Arial" w:hAnsi="Arial"/>
                    <w:b/>
                    <w:bCs/>
                    <w:rtl/>
                  </w:rPr>
                  <w:t>שופט</w:t>
                </w:r>
              </w:sdtContent>
            </w:sdt>
            <w:r>
              <w:rPr>
                <w:rFonts w:ascii="Arial" w:hAnsi="Arial"/>
                <w:b/>
                <w:bCs/>
                <w:rtl/>
              </w:rPr>
              <w:t xml:space="preserve">  </w:t>
            </w:r>
            <w:sdt>
              <w:sdtPr>
                <w:rPr>
                  <w:rtl/>
                </w:rPr>
                <w:alias w:val="1573"/>
                <w:tag w:val="1573"/>
                <w:id w:val="-188843600"/>
                <w:text w:multiLine="1"/>
              </w:sdtPr>
              <w:sdtEndPr/>
              <w:sdtContent>
                <w:r>
                  <w:rPr>
                    <w:rFonts w:ascii="Arial" w:hAnsi="Arial"/>
                    <w:b/>
                    <w:bCs/>
                    <w:rtl/>
                  </w:rPr>
                  <w:t>תומר שלם</w:t>
                </w:r>
              </w:sdtContent>
            </w:sdt>
          </w:p>
          <w:p w:rsidR="00F73645" w:rsidRDefault="00F73645">
            <w:pPr>
              <w:rPr>
                <w:rFonts w:ascii="Arial" w:hAnsi="Arial" w:cs="FrankRuehl"/>
                <w:sz w:val="28"/>
                <w:szCs w:val="28"/>
                <w:highlight w:val="yellow"/>
                <w:rtl/>
              </w:rPr>
            </w:pPr>
          </w:p>
        </w:tc>
      </w:tr>
      <w:tr w:rsidR="00F73645" w:rsidTr="00F73645">
        <w:trPr>
          <w:jc w:val="center"/>
        </w:trPr>
        <w:tc>
          <w:tcPr>
            <w:tcW w:w="3249" w:type="dxa"/>
            <w:gridSpan w:val="2"/>
          </w:tcPr>
          <w:p w:rsidR="00F73645" w:rsidRDefault="00F73645">
            <w:pPr>
              <w:bidi w:val="0"/>
              <w:spacing w:line="360" w:lineRule="auto"/>
              <w:jc w:val="right"/>
              <w:rPr>
                <w:rFonts w:ascii="Arial" w:hAnsi="Arial"/>
                <w:b/>
                <w:bCs/>
                <w:noProof w:val="0"/>
              </w:rPr>
            </w:pPr>
          </w:p>
          <w:sdt>
            <w:sdtPr>
              <w:alias w:val="1180"/>
              <w:tag w:val="1180"/>
              <w:id w:val="1559975633"/>
              <w:text w:multiLine="1"/>
            </w:sdtPr>
            <w:sdtEndPr/>
            <w:sdtContent>
              <w:p w:rsidR="00F73645" w:rsidRDefault="00F73645" w:rsidP="00D23F58">
                <w:pPr>
                  <w:bidi w:val="0"/>
                  <w:spacing w:line="360" w:lineRule="auto"/>
                  <w:ind w:left="2160" w:firstLine="50"/>
                  <w:rPr>
                    <w:rFonts w:ascii="Arial" w:hAnsi="Arial"/>
                    <w:b/>
                    <w:bCs/>
                    <w:noProof w:val="0"/>
                  </w:rPr>
                </w:pPr>
                <w:r>
                  <w:rPr>
                    <w:rFonts w:ascii="Arial" w:hAnsi="Arial"/>
                    <w:b/>
                    <w:bCs/>
                    <w:noProof w:val="0"/>
                    <w:rtl/>
                  </w:rPr>
                  <w:t>המבקש</w:t>
                </w:r>
              </w:p>
            </w:sdtContent>
          </w:sdt>
        </w:tc>
        <w:tc>
          <w:tcPr>
            <w:tcW w:w="5571" w:type="dxa"/>
            <w:gridSpan w:val="2"/>
          </w:tcPr>
          <w:p w:rsidR="00F73645" w:rsidRDefault="00F73645">
            <w:pPr>
              <w:spacing w:line="360" w:lineRule="auto"/>
              <w:rPr>
                <w:rFonts w:ascii="Arial" w:hAnsi="Arial"/>
                <w:b/>
                <w:bCs/>
                <w:noProof w:val="0"/>
                <w:rtl/>
              </w:rPr>
            </w:pPr>
          </w:p>
          <w:p w:rsidR="00F73645" w:rsidRDefault="0054696A" w:rsidP="0054696A">
            <w:pPr>
              <w:spacing w:line="360" w:lineRule="auto"/>
              <w:rPr>
                <w:b/>
                <w:bCs/>
                <w:noProof w:val="0"/>
              </w:rPr>
            </w:pPr>
            <w:r>
              <w:rPr>
                <w:rFonts w:ascii="Arial" w:hAnsi="Arial" w:hint="cs"/>
                <w:b/>
                <w:bCs/>
                <w:noProof w:val="0"/>
                <w:rtl/>
              </w:rPr>
              <w:t>פלוני</w:t>
            </w:r>
            <w:sdt>
              <w:sdtPr>
                <w:rPr>
                  <w:rtl/>
                </w:rPr>
                <w:alias w:val="2315"/>
                <w:tag w:val="2315"/>
                <w:id w:val="-454479908"/>
                <w:text w:multiLine="1"/>
              </w:sdtPr>
              <w:sdtEndPr/>
              <w:sdtContent>
                <w:r>
                  <w:rPr>
                    <w:rFonts w:hint="cs"/>
                    <w:rtl/>
                  </w:rPr>
                  <w:t xml:space="preserve"> </w:t>
                </w:r>
              </w:sdtContent>
            </w:sdt>
            <w:r w:rsidR="00F73645">
              <w:rPr>
                <w:rFonts w:ascii="Arial" w:hAnsi="Arial"/>
                <w:b/>
                <w:bCs/>
                <w:noProof w:val="0"/>
                <w:rtl/>
              </w:rPr>
              <w:t xml:space="preserve"> </w:t>
            </w:r>
            <w:sdt>
              <w:sdtPr>
                <w:rPr>
                  <w:b/>
                  <w:bCs/>
                  <w:rtl/>
                </w:rPr>
                <w:alias w:val="2316"/>
                <w:tag w:val="2316"/>
                <w:id w:val="1341505390"/>
                <w:text w:multiLine="1"/>
              </w:sdtPr>
              <w:sdtEndPr/>
              <w:sdtContent>
                <w:r>
                  <w:rPr>
                    <w:b/>
                    <w:bCs/>
                    <w:rtl/>
                  </w:rPr>
                  <w:br/>
                </w:r>
                <w:r w:rsidR="00F73645">
                  <w:rPr>
                    <w:b/>
                    <w:bCs/>
                    <w:rtl/>
                  </w:rPr>
                  <w:t>ע"י ב"כ עו"ד יהונתן קניר</w:t>
                </w:r>
              </w:sdtContent>
            </w:sdt>
          </w:p>
        </w:tc>
      </w:tr>
      <w:tr w:rsidR="00F73645" w:rsidTr="00F73645">
        <w:trPr>
          <w:trHeight w:val="651"/>
          <w:jc w:val="center"/>
        </w:trPr>
        <w:tc>
          <w:tcPr>
            <w:tcW w:w="8820" w:type="dxa"/>
            <w:gridSpan w:val="4"/>
          </w:tcPr>
          <w:p w:rsidR="00F73645" w:rsidRDefault="00F73645">
            <w:pPr>
              <w:spacing w:line="360" w:lineRule="auto"/>
              <w:rPr>
                <w:rFonts w:ascii="Arial" w:hAnsi="Arial"/>
                <w:b/>
                <w:bCs/>
                <w:noProof w:val="0"/>
              </w:rPr>
            </w:pPr>
          </w:p>
          <w:p w:rsidR="00F73645" w:rsidRDefault="00F73645">
            <w:pPr>
              <w:spacing w:line="360" w:lineRule="auto"/>
              <w:jc w:val="center"/>
              <w:rPr>
                <w:rFonts w:ascii="Arial" w:hAnsi="Arial"/>
                <w:b/>
                <w:bCs/>
                <w:noProof w:val="0"/>
                <w:rtl/>
              </w:rPr>
            </w:pPr>
            <w:r>
              <w:rPr>
                <w:rFonts w:ascii="Arial" w:hAnsi="Arial"/>
                <w:b/>
                <w:bCs/>
                <w:noProof w:val="0"/>
                <w:rtl/>
              </w:rPr>
              <w:t>נגד</w:t>
            </w:r>
          </w:p>
        </w:tc>
      </w:tr>
      <w:tr w:rsidR="00F73645" w:rsidTr="00F73645">
        <w:trPr>
          <w:jc w:val="center"/>
        </w:trPr>
        <w:tc>
          <w:tcPr>
            <w:tcW w:w="3249" w:type="dxa"/>
            <w:gridSpan w:val="2"/>
          </w:tcPr>
          <w:p w:rsidR="00F73645" w:rsidRDefault="00F73645">
            <w:pPr>
              <w:spacing w:line="360" w:lineRule="auto"/>
              <w:rPr>
                <w:rFonts w:ascii="Arial" w:hAnsi="Arial"/>
                <w:b/>
                <w:bCs/>
                <w:noProof w:val="0"/>
              </w:rPr>
            </w:pPr>
          </w:p>
          <w:p w:rsidR="00F73645" w:rsidRDefault="00682CBD">
            <w:pPr>
              <w:spacing w:line="360" w:lineRule="auto"/>
              <w:rPr>
                <w:rFonts w:ascii="Arial" w:hAnsi="Arial"/>
                <w:b/>
                <w:bCs/>
                <w:noProof w:val="0"/>
                <w:rtl/>
              </w:rPr>
            </w:pPr>
            <w:sdt>
              <w:sdtPr>
                <w:rPr>
                  <w:rtl/>
                </w:rPr>
                <w:alias w:val="1184"/>
                <w:tag w:val="1184"/>
                <w:id w:val="386307046"/>
                <w:text w:multiLine="1"/>
              </w:sdtPr>
              <w:sdtEndPr/>
              <w:sdtContent>
                <w:r w:rsidR="00F73645">
                  <w:rPr>
                    <w:rFonts w:ascii="Arial" w:hAnsi="Arial"/>
                    <w:b/>
                    <w:bCs/>
                    <w:noProof w:val="0"/>
                    <w:rtl/>
                  </w:rPr>
                  <w:t>המשיבה</w:t>
                </w:r>
              </w:sdtContent>
            </w:sdt>
          </w:p>
        </w:tc>
        <w:tc>
          <w:tcPr>
            <w:tcW w:w="5571" w:type="dxa"/>
            <w:gridSpan w:val="2"/>
          </w:tcPr>
          <w:p w:rsidR="00F73645" w:rsidRDefault="00F73645">
            <w:pPr>
              <w:spacing w:line="360" w:lineRule="auto"/>
              <w:rPr>
                <w:rFonts w:ascii="Arial" w:hAnsi="Arial"/>
                <w:b/>
                <w:bCs/>
                <w:noProof w:val="0"/>
              </w:rPr>
            </w:pPr>
          </w:p>
          <w:p w:rsidR="00F73645" w:rsidRDefault="00682CBD" w:rsidP="0054696A">
            <w:pPr>
              <w:spacing w:line="360" w:lineRule="auto"/>
              <w:rPr>
                <w:b/>
                <w:bCs/>
                <w:noProof w:val="0"/>
                <w:rtl/>
              </w:rPr>
            </w:pPr>
            <w:sdt>
              <w:sdtPr>
                <w:rPr>
                  <w:rtl/>
                </w:rPr>
                <w:alias w:val="1486"/>
                <w:tag w:val="1486"/>
                <w:id w:val="2063827857"/>
                <w:text w:multiLine="1"/>
              </w:sdtPr>
              <w:sdtEndPr/>
              <w:sdtContent>
                <w:r w:rsidR="0054696A">
                  <w:rPr>
                    <w:rFonts w:ascii="Arial" w:hAnsi="Arial" w:hint="cs"/>
                    <w:b/>
                    <w:bCs/>
                    <w:noProof w:val="0"/>
                    <w:rtl/>
                  </w:rPr>
                  <w:t>פלונית</w:t>
                </w:r>
              </w:sdtContent>
            </w:sdt>
            <w:r w:rsidR="00F73645">
              <w:rPr>
                <w:rFonts w:ascii="Arial" w:hAnsi="Arial"/>
                <w:b/>
                <w:bCs/>
                <w:noProof w:val="0"/>
                <w:rtl/>
              </w:rPr>
              <w:t xml:space="preserve"> </w:t>
            </w:r>
            <w:sdt>
              <w:sdtPr>
                <w:rPr>
                  <w:rtl/>
                </w:rPr>
                <w:alias w:val="2317"/>
                <w:tag w:val="2317"/>
                <w:id w:val="-1224135476"/>
                <w:showingPlcHdr/>
                <w:text w:multiLine="1"/>
              </w:sdtPr>
              <w:sdtEndPr/>
              <w:sdtContent>
                <w:r w:rsidR="0054696A">
                  <w:rPr>
                    <w:rtl/>
                  </w:rPr>
                  <w:t xml:space="preserve">     </w:t>
                </w:r>
              </w:sdtContent>
            </w:sdt>
            <w:r w:rsidR="00F73645">
              <w:rPr>
                <w:rFonts w:ascii="Arial" w:hAnsi="Arial"/>
                <w:b/>
                <w:bCs/>
                <w:noProof w:val="0"/>
                <w:rtl/>
              </w:rPr>
              <w:t xml:space="preserve"> </w:t>
            </w:r>
            <w:sdt>
              <w:sdtPr>
                <w:rPr>
                  <w:rtl/>
                </w:rPr>
                <w:alias w:val="2318"/>
                <w:tag w:val="2318"/>
                <w:id w:val="-304548180"/>
                <w:text w:multiLine="1"/>
              </w:sdtPr>
              <w:sdtEndPr/>
              <w:sdtContent>
                <w:r w:rsidR="00F73645">
                  <w:rPr>
                    <w:rFonts w:ascii="Arial" w:hAnsi="Arial"/>
                    <w:b/>
                    <w:bCs/>
                    <w:noProof w:val="0"/>
                    <w:rtl/>
                  </w:rPr>
                  <w:t xml:space="preserve"> </w:t>
                </w:r>
                <w:r w:rsidR="00F73645">
                  <w:rPr>
                    <w:rFonts w:ascii="Arial" w:hAnsi="Arial"/>
                    <w:b/>
                    <w:bCs/>
                    <w:noProof w:val="0"/>
                    <w:rtl/>
                  </w:rPr>
                  <w:br/>
                  <w:t>ע"י ב"כ איתן שלו סולקין</w:t>
                </w:r>
                <w:r w:rsidR="00F73645">
                  <w:rPr>
                    <w:rFonts w:ascii="Arial" w:hAnsi="Arial"/>
                    <w:b/>
                    <w:bCs/>
                    <w:noProof w:val="0"/>
                    <w:rtl/>
                  </w:rPr>
                  <w:br/>
                </w:r>
              </w:sdtContent>
            </w:sdt>
          </w:p>
        </w:tc>
      </w:tr>
    </w:tbl>
    <w:p w:rsidR="00F73645" w:rsidRDefault="00F73645" w:rsidP="00F73645">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73645" w:rsidTr="00F73645">
        <w:trPr>
          <w:jc w:val="center"/>
        </w:trPr>
        <w:tc>
          <w:tcPr>
            <w:tcW w:w="8820" w:type="dxa"/>
            <w:hideMark/>
          </w:tcPr>
          <w:p w:rsidR="00F73645" w:rsidRDefault="00F73645" w:rsidP="00370D4F">
            <w:pPr>
              <w:tabs>
                <w:tab w:val="right" w:pos="4852"/>
              </w:tabs>
              <w:bidi w:val="0"/>
              <w:ind w:left="2880" w:firstLine="554"/>
              <w:rPr>
                <w:rFonts w:ascii="Arial" w:hAnsi="Arial"/>
                <w:b/>
                <w:bCs/>
                <w:noProof w:val="0"/>
                <w:sz w:val="28"/>
                <w:szCs w:val="28"/>
                <w:u w:val="single"/>
              </w:rPr>
            </w:pPr>
            <w:r>
              <w:rPr>
                <w:rFonts w:ascii="Arial" w:hAnsi="Arial"/>
                <w:b/>
                <w:bCs/>
                <w:noProof w:val="0"/>
                <w:sz w:val="28"/>
                <w:szCs w:val="28"/>
                <w:u w:val="single"/>
                <w:rtl/>
              </w:rPr>
              <w:t>פסק-דין</w:t>
            </w:r>
            <w:r>
              <w:rPr>
                <w:rFonts w:ascii="Arial" w:hAnsi="Arial"/>
                <w:b/>
                <w:bCs/>
                <w:noProof w:val="0"/>
                <w:sz w:val="28"/>
                <w:szCs w:val="28"/>
                <w:rtl/>
              </w:rPr>
              <w:t xml:space="preserve">          </w:t>
            </w:r>
          </w:p>
        </w:tc>
      </w:tr>
    </w:tbl>
    <w:p w:rsidR="00F73645" w:rsidRDefault="00F73645" w:rsidP="00F73645">
      <w:pPr>
        <w:spacing w:line="360" w:lineRule="auto"/>
        <w:jc w:val="both"/>
        <w:rPr>
          <w:rFonts w:ascii="Arial" w:hAnsi="Arial"/>
          <w:noProof w:val="0"/>
        </w:rPr>
      </w:pPr>
    </w:p>
    <w:p w:rsidR="00F73645" w:rsidRDefault="00F73645" w:rsidP="00F73645">
      <w:pPr>
        <w:spacing w:line="360" w:lineRule="auto"/>
        <w:jc w:val="both"/>
        <w:rPr>
          <w:rFonts w:ascii="Arial" w:hAnsi="Arial"/>
          <w:noProof w:val="0"/>
          <w:rtl/>
        </w:rPr>
      </w:pPr>
      <w:r>
        <w:rPr>
          <w:rFonts w:ascii="Arial" w:hAnsi="Arial"/>
          <w:noProof w:val="0"/>
          <w:rtl/>
        </w:rPr>
        <w:t xml:space="preserve">מונחת לפניי בקשה </w:t>
      </w:r>
      <w:r w:rsidR="00F72537">
        <w:rPr>
          <w:rFonts w:ascii="Arial" w:hAnsi="Arial" w:hint="cs"/>
          <w:noProof w:val="0"/>
          <w:rtl/>
        </w:rPr>
        <w:t xml:space="preserve">שהגיש המבקש </w:t>
      </w:r>
      <w:r>
        <w:rPr>
          <w:rFonts w:ascii="Arial" w:hAnsi="Arial"/>
          <w:noProof w:val="0"/>
          <w:rtl/>
        </w:rPr>
        <w:t>לסילוק על הסף של התביעה הרכושית שהגישה המשיבה</w:t>
      </w:r>
      <w:r w:rsidR="00F72537">
        <w:rPr>
          <w:rFonts w:ascii="Arial" w:hAnsi="Arial" w:hint="cs"/>
          <w:noProof w:val="0"/>
          <w:rtl/>
        </w:rPr>
        <w:t xml:space="preserve"> לבית המשפט</w:t>
      </w:r>
      <w:r>
        <w:rPr>
          <w:rFonts w:ascii="Arial" w:hAnsi="Arial"/>
          <w:noProof w:val="0"/>
          <w:rtl/>
        </w:rPr>
        <w:t xml:space="preserve">, מחמת העדר סמכות עניינית. לטענת המבקש, הסמכות העניינית לדון בענייני הרכוש של הצדדים, נתונה לבית הדין הרבני. </w:t>
      </w:r>
    </w:p>
    <w:p w:rsidR="00F73645" w:rsidRDefault="00F73645" w:rsidP="00F73645">
      <w:pPr>
        <w:spacing w:line="360" w:lineRule="auto"/>
        <w:jc w:val="both"/>
        <w:rPr>
          <w:rFonts w:ascii="Arial" w:hAnsi="Arial"/>
          <w:noProof w:val="0"/>
          <w:rtl/>
        </w:rPr>
      </w:pPr>
    </w:p>
    <w:p w:rsidR="00F73645" w:rsidRDefault="00F73645" w:rsidP="00F73645">
      <w:pPr>
        <w:spacing w:line="360" w:lineRule="auto"/>
        <w:jc w:val="both"/>
        <w:rPr>
          <w:rFonts w:ascii="Arial" w:hAnsi="Arial"/>
          <w:noProof w:val="0"/>
          <w:rtl/>
        </w:rPr>
      </w:pPr>
      <w:r>
        <w:rPr>
          <w:rFonts w:ascii="Arial" w:hAnsi="Arial"/>
          <w:noProof w:val="0"/>
          <w:rtl/>
        </w:rPr>
        <w:t xml:space="preserve">ביום 21.7.2024, ניתנה על ידי בית הדין הרבני החלטה </w:t>
      </w:r>
      <w:r w:rsidR="00D23F58">
        <w:rPr>
          <w:rFonts w:ascii="Arial" w:hAnsi="Arial" w:hint="cs"/>
          <w:noProof w:val="0"/>
          <w:rtl/>
        </w:rPr>
        <w:t>ו</w:t>
      </w:r>
      <w:r>
        <w:rPr>
          <w:rFonts w:ascii="Arial" w:hAnsi="Arial"/>
          <w:noProof w:val="0"/>
          <w:rtl/>
        </w:rPr>
        <w:t xml:space="preserve">לפיה הסמכות לדון בענייני הרכוש של הצדדים נתונה לו. </w:t>
      </w:r>
    </w:p>
    <w:p w:rsidR="00F73645" w:rsidRDefault="00F73645" w:rsidP="00F73645">
      <w:pPr>
        <w:spacing w:line="360" w:lineRule="auto"/>
        <w:jc w:val="both"/>
        <w:rPr>
          <w:rFonts w:ascii="Arial" w:hAnsi="Arial"/>
          <w:noProof w:val="0"/>
          <w:rtl/>
        </w:rPr>
      </w:pPr>
    </w:p>
    <w:p w:rsidR="00F73645" w:rsidRDefault="00F73645" w:rsidP="00F73645">
      <w:pPr>
        <w:spacing w:line="360" w:lineRule="auto"/>
        <w:jc w:val="both"/>
        <w:rPr>
          <w:rFonts w:ascii="Arial" w:hAnsi="Arial"/>
          <w:b/>
          <w:bCs/>
          <w:noProof w:val="0"/>
          <w:rtl/>
        </w:rPr>
      </w:pPr>
      <w:r>
        <w:rPr>
          <w:rFonts w:ascii="Arial" w:hAnsi="Arial"/>
          <w:b/>
          <w:bCs/>
          <w:noProof w:val="0"/>
          <w:rtl/>
        </w:rPr>
        <w:t xml:space="preserve">השאלה שבמוקד ההכרעה היא – האם בנסיבות המקרה דנא, התקיים "טעם מיוחד" על פי </w:t>
      </w:r>
      <w:r w:rsidR="00D23F58">
        <w:rPr>
          <w:rFonts w:ascii="Arial" w:hAnsi="Arial" w:hint="cs"/>
          <w:b/>
          <w:bCs/>
          <w:noProof w:val="0"/>
          <w:rtl/>
        </w:rPr>
        <w:t>"</w:t>
      </w:r>
      <w:r>
        <w:rPr>
          <w:rFonts w:ascii="Arial" w:hAnsi="Arial"/>
          <w:b/>
          <w:bCs/>
          <w:noProof w:val="0"/>
          <w:rtl/>
        </w:rPr>
        <w:t>הלכת פלמן</w:t>
      </w:r>
      <w:r w:rsidR="00D23F58">
        <w:rPr>
          <w:rFonts w:ascii="Arial" w:hAnsi="Arial" w:hint="cs"/>
          <w:b/>
          <w:bCs/>
          <w:noProof w:val="0"/>
          <w:rtl/>
        </w:rPr>
        <w:t>"</w:t>
      </w:r>
      <w:r>
        <w:rPr>
          <w:rFonts w:ascii="Arial" w:hAnsi="Arial"/>
          <w:b/>
          <w:bCs/>
          <w:noProof w:val="0"/>
          <w:rtl/>
        </w:rPr>
        <w:t xml:space="preserve">, המצדיק, כי בית המשפט יידרש להכריע בשאלת הסמכות, חרף החלטה מוקדמת של בית הדין הרבני? </w:t>
      </w:r>
    </w:p>
    <w:p w:rsidR="00F73645" w:rsidRDefault="00F73645" w:rsidP="00F73645">
      <w:pPr>
        <w:spacing w:line="360" w:lineRule="auto"/>
        <w:jc w:val="both"/>
        <w:rPr>
          <w:rFonts w:ascii="Arial" w:hAnsi="Arial"/>
          <w:noProof w:val="0"/>
          <w:rtl/>
        </w:rPr>
      </w:pPr>
    </w:p>
    <w:p w:rsidR="00F73645" w:rsidRDefault="00F73645" w:rsidP="00F73645">
      <w:pPr>
        <w:pStyle w:val="ac"/>
        <w:numPr>
          <w:ilvl w:val="0"/>
          <w:numId w:val="2"/>
        </w:numPr>
        <w:spacing w:line="360" w:lineRule="auto"/>
        <w:jc w:val="both"/>
        <w:rPr>
          <w:rFonts w:ascii="Arial" w:hAnsi="Arial"/>
          <w:b/>
          <w:bCs/>
          <w:noProof w:val="0"/>
          <w:u w:val="single"/>
          <w:rtl/>
        </w:rPr>
      </w:pPr>
      <w:r>
        <w:rPr>
          <w:rFonts w:ascii="Arial" w:hAnsi="Arial"/>
          <w:b/>
          <w:bCs/>
          <w:noProof w:val="0"/>
          <w:u w:val="single"/>
          <w:rtl/>
        </w:rPr>
        <w:t xml:space="preserve">הרקע להליך </w:t>
      </w:r>
    </w:p>
    <w:p w:rsidR="00F73645" w:rsidRDefault="00F73645" w:rsidP="00F73645">
      <w:pPr>
        <w:pStyle w:val="ac"/>
        <w:spacing w:line="360" w:lineRule="auto"/>
        <w:ind w:left="360"/>
        <w:jc w:val="both"/>
        <w:rPr>
          <w:rFonts w:ascii="Arial" w:hAnsi="Arial"/>
          <w:noProof w:val="0"/>
        </w:rPr>
      </w:pPr>
    </w:p>
    <w:p w:rsidR="00F73645" w:rsidRDefault="00F73645" w:rsidP="00F73645">
      <w:pPr>
        <w:pStyle w:val="ac"/>
        <w:numPr>
          <w:ilvl w:val="1"/>
          <w:numId w:val="2"/>
        </w:numPr>
        <w:spacing w:line="360" w:lineRule="auto"/>
        <w:ind w:left="907" w:hanging="567"/>
        <w:jc w:val="both"/>
        <w:rPr>
          <w:rFonts w:ascii="Arial" w:hAnsi="Arial"/>
          <w:noProof w:val="0"/>
          <w:rtl/>
        </w:rPr>
      </w:pPr>
      <w:r>
        <w:rPr>
          <w:rFonts w:ascii="Arial" w:hAnsi="Arial"/>
          <w:noProof w:val="0"/>
          <w:rtl/>
        </w:rPr>
        <w:t xml:space="preserve">הצדדים נישאו זל"ז כדמו"י ומנישואיהם נולדו להם 2 ילדים (שניהם בגירים). </w:t>
      </w:r>
    </w:p>
    <w:p w:rsidR="00F73645" w:rsidRDefault="00F73645" w:rsidP="00F73645">
      <w:pPr>
        <w:pStyle w:val="ac"/>
        <w:spacing w:line="360" w:lineRule="auto"/>
        <w:ind w:left="792"/>
        <w:jc w:val="both"/>
        <w:rPr>
          <w:rFonts w:ascii="Arial" w:hAnsi="Arial"/>
          <w:noProof w:val="0"/>
        </w:rPr>
      </w:pPr>
    </w:p>
    <w:p w:rsidR="00F73645" w:rsidRDefault="00F73645" w:rsidP="00F73645">
      <w:pPr>
        <w:pStyle w:val="ac"/>
        <w:numPr>
          <w:ilvl w:val="1"/>
          <w:numId w:val="2"/>
        </w:numPr>
        <w:spacing w:line="360" w:lineRule="auto"/>
        <w:ind w:left="907" w:hanging="567"/>
        <w:jc w:val="both"/>
        <w:rPr>
          <w:rFonts w:ascii="Arial" w:hAnsi="Arial"/>
          <w:noProof w:val="0"/>
        </w:rPr>
      </w:pPr>
      <w:r>
        <w:rPr>
          <w:rFonts w:ascii="Arial" w:hAnsi="Arial"/>
          <w:noProof w:val="0"/>
          <w:rtl/>
        </w:rPr>
        <w:t xml:space="preserve">ביום 22.2.2024, הגיש המבקש תביעת גירושין לבית הדין הרבני האזורי בת"א, וכרך לתביעה את ענייני הרכוש של הצדדים. </w:t>
      </w:r>
    </w:p>
    <w:p w:rsidR="00F73645" w:rsidRDefault="00F73645" w:rsidP="00F73645">
      <w:pPr>
        <w:pStyle w:val="ac"/>
        <w:rPr>
          <w:rFonts w:ascii="Arial" w:hAnsi="Arial"/>
          <w:noProof w:val="0"/>
        </w:rPr>
      </w:pPr>
    </w:p>
    <w:p w:rsidR="00F73645" w:rsidRDefault="00F73645" w:rsidP="00F73645">
      <w:pPr>
        <w:pStyle w:val="ac"/>
        <w:numPr>
          <w:ilvl w:val="1"/>
          <w:numId w:val="2"/>
        </w:numPr>
        <w:spacing w:line="360" w:lineRule="auto"/>
        <w:ind w:left="907" w:hanging="567"/>
        <w:jc w:val="both"/>
        <w:rPr>
          <w:rFonts w:ascii="Arial" w:hAnsi="Arial"/>
          <w:noProof w:val="0"/>
          <w:rtl/>
        </w:rPr>
      </w:pPr>
      <w:r>
        <w:rPr>
          <w:rFonts w:ascii="Arial" w:hAnsi="Arial"/>
          <w:noProof w:val="0"/>
          <w:rtl/>
        </w:rPr>
        <w:t xml:space="preserve">ביום 20.5.2024, </w:t>
      </w:r>
      <w:r>
        <w:rPr>
          <w:rFonts w:ascii="Arial" w:hAnsi="Arial" w:hint="cs"/>
          <w:noProof w:val="0"/>
          <w:rtl/>
        </w:rPr>
        <w:t xml:space="preserve">בחלוף כשלושה חודשים, </w:t>
      </w:r>
      <w:r>
        <w:rPr>
          <w:rFonts w:ascii="Arial" w:hAnsi="Arial"/>
          <w:noProof w:val="0"/>
          <w:rtl/>
        </w:rPr>
        <w:t>הגישה המשיבה את התביעה הרכושית לבית המשפט.</w:t>
      </w:r>
    </w:p>
    <w:p w:rsidR="00F73645" w:rsidRDefault="00F73645" w:rsidP="00F73645">
      <w:pPr>
        <w:pStyle w:val="ac"/>
        <w:rPr>
          <w:rFonts w:ascii="Arial" w:hAnsi="Arial"/>
          <w:noProof w:val="0"/>
        </w:rPr>
      </w:pPr>
    </w:p>
    <w:p w:rsidR="00F73645" w:rsidRDefault="00D23F58" w:rsidP="00D23F58">
      <w:pPr>
        <w:pStyle w:val="ac"/>
        <w:numPr>
          <w:ilvl w:val="1"/>
          <w:numId w:val="2"/>
        </w:numPr>
        <w:spacing w:line="360" w:lineRule="auto"/>
        <w:ind w:left="907" w:hanging="567"/>
        <w:jc w:val="both"/>
        <w:rPr>
          <w:rFonts w:ascii="Arial" w:hAnsi="Arial"/>
          <w:noProof w:val="0"/>
          <w:rtl/>
        </w:rPr>
      </w:pPr>
      <w:r>
        <w:rPr>
          <w:rFonts w:ascii="Arial" w:hAnsi="Arial" w:hint="cs"/>
          <w:noProof w:val="0"/>
          <w:rtl/>
        </w:rPr>
        <w:t xml:space="preserve">לאחר שהמשיבה הגישה את </w:t>
      </w:r>
      <w:r w:rsidR="00F73645">
        <w:rPr>
          <w:rFonts w:ascii="Arial" w:hAnsi="Arial"/>
          <w:noProof w:val="0"/>
          <w:rtl/>
        </w:rPr>
        <w:t xml:space="preserve">התביעה לבית המשפט, </w:t>
      </w:r>
      <w:r w:rsidR="00F73645">
        <w:rPr>
          <w:rFonts w:ascii="Arial" w:hAnsi="Arial"/>
          <w:b/>
          <w:bCs/>
          <w:noProof w:val="0"/>
          <w:rtl/>
        </w:rPr>
        <w:t>המבקש הגיש לבית הדין הרבני "בקשה לקביעת סמכות"</w:t>
      </w:r>
      <w:r w:rsidR="00F73645">
        <w:rPr>
          <w:rFonts w:ascii="Arial" w:hAnsi="Arial"/>
          <w:noProof w:val="0"/>
          <w:rtl/>
        </w:rPr>
        <w:t>; המשיבה הגישה תגובה לבקשה ובה שטחה את טענותיה</w:t>
      </w:r>
      <w:r w:rsidR="00F73645">
        <w:rPr>
          <w:rFonts w:ascii="Arial" w:hAnsi="Arial" w:hint="cs"/>
          <w:noProof w:val="0"/>
          <w:rtl/>
        </w:rPr>
        <w:t xml:space="preserve"> ונימקה מדוע לשיטתה ב</w:t>
      </w:r>
      <w:r w:rsidR="00F73645">
        <w:rPr>
          <w:rFonts w:ascii="Arial" w:hAnsi="Arial"/>
          <w:noProof w:val="0"/>
          <w:rtl/>
        </w:rPr>
        <w:t xml:space="preserve">ית הדין הרבני נעדר סמכות לדון בענייני רכושם של הצדדים. </w:t>
      </w:r>
    </w:p>
    <w:p w:rsidR="00F73645" w:rsidRDefault="00F73645" w:rsidP="00F73645">
      <w:pPr>
        <w:pStyle w:val="ac"/>
        <w:spacing w:line="360" w:lineRule="auto"/>
        <w:ind w:left="792"/>
        <w:jc w:val="both"/>
        <w:rPr>
          <w:rFonts w:ascii="Arial" w:hAnsi="Arial"/>
          <w:noProof w:val="0"/>
        </w:rPr>
      </w:pPr>
    </w:p>
    <w:p w:rsidR="006C6FEF" w:rsidRPr="006C6FEF" w:rsidRDefault="006C6FEF" w:rsidP="00F73645">
      <w:pPr>
        <w:pStyle w:val="ac"/>
        <w:numPr>
          <w:ilvl w:val="1"/>
          <w:numId w:val="2"/>
        </w:numPr>
        <w:spacing w:line="360" w:lineRule="auto"/>
        <w:ind w:left="907" w:hanging="567"/>
        <w:jc w:val="both"/>
        <w:rPr>
          <w:rFonts w:ascii="Arial" w:hAnsi="Arial"/>
          <w:b/>
          <w:bCs/>
          <w:noProof w:val="0"/>
        </w:rPr>
      </w:pPr>
      <w:r>
        <w:rPr>
          <w:rFonts w:ascii="Arial" w:hAnsi="Arial"/>
          <w:noProof w:val="0"/>
          <w:rtl/>
        </w:rPr>
        <w:t xml:space="preserve">ביום 21.7.2024, ניתנה על ידי בית הדין הרבני החלטה לפיה הסמכות לדון בענייני הרכוש של הצדדים נתונה לו. </w:t>
      </w:r>
    </w:p>
    <w:p w:rsidR="006C6FEF" w:rsidRPr="006C6FEF" w:rsidRDefault="006C6FEF" w:rsidP="006C6FEF">
      <w:pPr>
        <w:pStyle w:val="ac"/>
        <w:rPr>
          <w:rFonts w:ascii="Arial" w:hAnsi="Arial"/>
          <w:noProof w:val="0"/>
          <w:rtl/>
        </w:rPr>
      </w:pPr>
    </w:p>
    <w:p w:rsidR="00F73645" w:rsidRDefault="00F73645" w:rsidP="00F73645">
      <w:pPr>
        <w:pStyle w:val="ac"/>
        <w:numPr>
          <w:ilvl w:val="1"/>
          <w:numId w:val="2"/>
        </w:numPr>
        <w:spacing w:line="360" w:lineRule="auto"/>
        <w:ind w:left="907" w:hanging="567"/>
        <w:jc w:val="both"/>
        <w:rPr>
          <w:rFonts w:ascii="Arial" w:hAnsi="Arial"/>
          <w:b/>
          <w:bCs/>
          <w:noProof w:val="0"/>
        </w:rPr>
      </w:pPr>
      <w:r>
        <w:rPr>
          <w:rFonts w:ascii="Arial" w:hAnsi="Arial"/>
          <w:noProof w:val="0"/>
          <w:rtl/>
        </w:rPr>
        <w:t xml:space="preserve">ביום 4.8.2024, כשבועיים לאחר שניתנה החלטת בית הדין הרבני, כי לו הסמכות לדון בענייני רכוש הצדדים, </w:t>
      </w:r>
      <w:r>
        <w:rPr>
          <w:rFonts w:ascii="Arial" w:hAnsi="Arial"/>
          <w:b/>
          <w:bCs/>
          <w:noProof w:val="0"/>
          <w:rtl/>
        </w:rPr>
        <w:t xml:space="preserve">הגישה המשיבה לבית המשפט "בקשה לקביעת סמכות". </w:t>
      </w:r>
    </w:p>
    <w:p w:rsidR="00F73645" w:rsidRDefault="00F73645" w:rsidP="00F73645">
      <w:pPr>
        <w:pStyle w:val="ac"/>
        <w:rPr>
          <w:rFonts w:ascii="Arial" w:hAnsi="Arial"/>
          <w:b/>
          <w:bCs/>
          <w:noProof w:val="0"/>
        </w:rPr>
      </w:pPr>
    </w:p>
    <w:p w:rsidR="00F73645" w:rsidRDefault="00F73645" w:rsidP="006C6FEF">
      <w:pPr>
        <w:pStyle w:val="ac"/>
        <w:numPr>
          <w:ilvl w:val="1"/>
          <w:numId w:val="2"/>
        </w:numPr>
        <w:spacing w:line="360" w:lineRule="auto"/>
        <w:ind w:left="907" w:hanging="567"/>
        <w:jc w:val="both"/>
        <w:rPr>
          <w:rFonts w:ascii="Arial" w:hAnsi="Arial"/>
          <w:noProof w:val="0"/>
          <w:rtl/>
        </w:rPr>
      </w:pPr>
      <w:r>
        <w:rPr>
          <w:rFonts w:ascii="Arial" w:hAnsi="Arial"/>
          <w:noProof w:val="0"/>
          <w:rtl/>
        </w:rPr>
        <w:t xml:space="preserve">אם כן, אין מחלוקת בין הצדדים, כי התביעה שהגישה המשיבה, </w:t>
      </w:r>
      <w:r>
        <w:rPr>
          <w:rFonts w:ascii="Arial" w:hAnsi="Arial"/>
          <w:b/>
          <w:bCs/>
          <w:noProof w:val="0"/>
          <w:rtl/>
        </w:rPr>
        <w:t>מאוחרת בזמן</w:t>
      </w:r>
      <w:r>
        <w:rPr>
          <w:rFonts w:ascii="Arial" w:hAnsi="Arial"/>
          <w:noProof w:val="0"/>
          <w:rtl/>
        </w:rPr>
        <w:t xml:space="preserve"> לתביעת הגירושין הכרוכה שהגיש המבקש. </w:t>
      </w:r>
      <w:r w:rsidR="006C6FEF">
        <w:rPr>
          <w:rFonts w:ascii="Arial" w:hAnsi="Arial" w:hint="cs"/>
          <w:noProof w:val="0"/>
          <w:rtl/>
        </w:rPr>
        <w:t xml:space="preserve">המשיבה לא נתנה כל הסבר לשיהוי של </w:t>
      </w:r>
      <w:r w:rsidR="006C6FEF">
        <w:rPr>
          <w:rFonts w:ascii="Arial" w:hAnsi="Arial"/>
          <w:noProof w:val="0"/>
          <w:rtl/>
        </w:rPr>
        <w:t>כ- 3 חודשים</w:t>
      </w:r>
      <w:r w:rsidR="006C6FEF">
        <w:rPr>
          <w:rFonts w:ascii="Arial" w:hAnsi="Arial" w:hint="cs"/>
          <w:noProof w:val="0"/>
          <w:rtl/>
        </w:rPr>
        <w:t xml:space="preserve"> בהגשת התביעה לבית המשפט</w:t>
      </w:r>
      <w:r w:rsidR="00864848">
        <w:rPr>
          <w:rFonts w:ascii="Arial" w:hAnsi="Arial" w:hint="cs"/>
          <w:noProof w:val="0"/>
          <w:rtl/>
        </w:rPr>
        <w:t>,</w:t>
      </w:r>
      <w:r w:rsidR="00D23F58">
        <w:rPr>
          <w:rFonts w:ascii="Arial" w:hAnsi="Arial" w:hint="cs"/>
          <w:noProof w:val="0"/>
          <w:rtl/>
        </w:rPr>
        <w:t xml:space="preserve"> לאחר שהמבקש הקדים להגיש את תביעת הגירושין הכרוכה לבית הדין הרבני</w:t>
      </w:r>
      <w:r w:rsidR="006C6FEF">
        <w:rPr>
          <w:rFonts w:ascii="Arial" w:hAnsi="Arial" w:hint="cs"/>
          <w:noProof w:val="0"/>
          <w:rtl/>
        </w:rPr>
        <w:t xml:space="preserve">.  </w:t>
      </w:r>
    </w:p>
    <w:p w:rsidR="00F73645" w:rsidRDefault="00F73645" w:rsidP="00F73645">
      <w:pPr>
        <w:pStyle w:val="ac"/>
        <w:spacing w:line="360" w:lineRule="auto"/>
        <w:ind w:left="792"/>
        <w:jc w:val="both"/>
        <w:rPr>
          <w:rFonts w:ascii="Arial" w:hAnsi="Arial"/>
          <w:noProof w:val="0"/>
        </w:rPr>
      </w:pPr>
    </w:p>
    <w:p w:rsidR="00F73645" w:rsidRDefault="00F73645" w:rsidP="00F73645">
      <w:pPr>
        <w:pStyle w:val="ac"/>
        <w:numPr>
          <w:ilvl w:val="1"/>
          <w:numId w:val="2"/>
        </w:numPr>
        <w:spacing w:line="360" w:lineRule="auto"/>
        <w:ind w:left="907" w:hanging="567"/>
        <w:jc w:val="both"/>
        <w:rPr>
          <w:rFonts w:ascii="Arial" w:hAnsi="Arial"/>
          <w:noProof w:val="0"/>
          <w:rtl/>
        </w:rPr>
      </w:pPr>
      <w:r>
        <w:rPr>
          <w:rFonts w:ascii="Arial" w:hAnsi="Arial"/>
          <w:noProof w:val="0"/>
          <w:rtl/>
        </w:rPr>
        <w:t xml:space="preserve">ביום 21.7.2024, התקיים דיון בבית הדין הרבני, ובסיומו ניתנה החלטה לפיה הסמכות העניינית לדון בענייני הרכוש של הצדדים, </w:t>
      </w:r>
      <w:r>
        <w:rPr>
          <w:rFonts w:ascii="Arial" w:hAnsi="Arial"/>
          <w:b/>
          <w:bCs/>
          <w:noProof w:val="0"/>
          <w:rtl/>
        </w:rPr>
        <w:t>נתונה לבית הדין הרבני</w:t>
      </w:r>
      <w:r>
        <w:rPr>
          <w:rFonts w:ascii="Arial" w:hAnsi="Arial"/>
          <w:noProof w:val="0"/>
          <w:rtl/>
        </w:rPr>
        <w:t xml:space="preserve">. בשל חשיבות ההחלטה להכרעה זו, היא תובא להלן בלשונה בפרק "דיון והכרעה".    </w:t>
      </w:r>
    </w:p>
    <w:p w:rsidR="00F73645" w:rsidRDefault="00F73645" w:rsidP="00F73645">
      <w:pPr>
        <w:spacing w:line="360" w:lineRule="auto"/>
        <w:jc w:val="both"/>
        <w:rPr>
          <w:rFonts w:ascii="Arial" w:hAnsi="Arial"/>
          <w:noProof w:val="0"/>
          <w:rtl/>
        </w:rPr>
      </w:pPr>
    </w:p>
    <w:p w:rsidR="00F73645" w:rsidRDefault="00F73645" w:rsidP="00F73645">
      <w:pPr>
        <w:pStyle w:val="ac"/>
        <w:numPr>
          <w:ilvl w:val="0"/>
          <w:numId w:val="2"/>
        </w:numPr>
        <w:spacing w:line="360" w:lineRule="auto"/>
        <w:jc w:val="both"/>
        <w:rPr>
          <w:rFonts w:ascii="Arial" w:hAnsi="Arial"/>
          <w:b/>
          <w:bCs/>
          <w:noProof w:val="0"/>
          <w:u w:val="single"/>
          <w:rtl/>
        </w:rPr>
      </w:pPr>
      <w:r>
        <w:rPr>
          <w:rFonts w:ascii="Arial" w:hAnsi="Arial"/>
          <w:b/>
          <w:bCs/>
          <w:noProof w:val="0"/>
          <w:u w:val="single"/>
          <w:rtl/>
        </w:rPr>
        <w:t xml:space="preserve">טענות המבקש </w:t>
      </w:r>
    </w:p>
    <w:p w:rsidR="00F73645" w:rsidRDefault="00F73645" w:rsidP="00F73645">
      <w:pPr>
        <w:pStyle w:val="ac"/>
        <w:spacing w:line="360" w:lineRule="auto"/>
        <w:ind w:left="360"/>
        <w:jc w:val="both"/>
        <w:rPr>
          <w:rFonts w:ascii="Arial" w:hAnsi="Arial"/>
          <w:noProof w:val="0"/>
        </w:rPr>
      </w:pPr>
    </w:p>
    <w:p w:rsidR="00F73645" w:rsidRDefault="00F73645" w:rsidP="00F73645">
      <w:pPr>
        <w:pStyle w:val="ac"/>
        <w:numPr>
          <w:ilvl w:val="1"/>
          <w:numId w:val="2"/>
        </w:numPr>
        <w:spacing w:line="360" w:lineRule="auto"/>
        <w:ind w:left="907" w:hanging="567"/>
        <w:jc w:val="both"/>
        <w:rPr>
          <w:rFonts w:ascii="Arial" w:hAnsi="Arial"/>
          <w:noProof w:val="0"/>
        </w:rPr>
      </w:pPr>
      <w:r>
        <w:rPr>
          <w:rFonts w:ascii="Arial" w:hAnsi="Arial"/>
          <w:noProof w:val="0"/>
          <w:rtl/>
        </w:rPr>
        <w:t xml:space="preserve">ביום 28.7.2024, המבקש הגיש לבית המשפט בקשה למחיקת התביעה שהגישה המשיבה, מחמת העדר סמכות עניינית (בקשה 4). </w:t>
      </w:r>
    </w:p>
    <w:p w:rsidR="00F73645" w:rsidRDefault="00F73645" w:rsidP="00F73645">
      <w:pPr>
        <w:pStyle w:val="ac"/>
        <w:spacing w:line="360" w:lineRule="auto"/>
        <w:ind w:left="851"/>
        <w:jc w:val="both"/>
        <w:rPr>
          <w:rFonts w:ascii="Arial" w:hAnsi="Arial"/>
          <w:noProof w:val="0"/>
        </w:rPr>
      </w:pPr>
    </w:p>
    <w:p w:rsidR="00F73645" w:rsidRDefault="00F73645" w:rsidP="00864848">
      <w:pPr>
        <w:pStyle w:val="ac"/>
        <w:numPr>
          <w:ilvl w:val="1"/>
          <w:numId w:val="2"/>
        </w:numPr>
        <w:spacing w:line="360" w:lineRule="auto"/>
        <w:ind w:left="907" w:hanging="567"/>
        <w:jc w:val="both"/>
        <w:rPr>
          <w:rFonts w:ascii="Arial" w:hAnsi="Arial"/>
          <w:noProof w:val="0"/>
        </w:rPr>
      </w:pPr>
      <w:r>
        <w:rPr>
          <w:rFonts w:ascii="Arial" w:hAnsi="Arial"/>
          <w:noProof w:val="0"/>
          <w:rtl/>
        </w:rPr>
        <w:t xml:space="preserve">לטענת המבקש הסמכות לדון בענייני הרכוש נתונה לבית הדין הרבני, וזאת על בסיס שלושה נימוקים מרכזיים השלובים זה בזה: </w:t>
      </w:r>
      <w:r>
        <w:rPr>
          <w:rFonts w:ascii="Arial" w:hAnsi="Arial"/>
          <w:noProof w:val="0"/>
          <w:u w:val="single"/>
          <w:rtl/>
        </w:rPr>
        <w:t>האחד</w:t>
      </w:r>
      <w:r>
        <w:rPr>
          <w:rFonts w:ascii="Arial" w:hAnsi="Arial"/>
          <w:noProof w:val="0"/>
          <w:rtl/>
        </w:rPr>
        <w:t xml:space="preserve">, תביעת הגירושין הכרוכה הוגשה במועד מוקדם יותר לתביעת הרכוש שהגישה המשיבה לבית המשפט. </w:t>
      </w:r>
      <w:r>
        <w:rPr>
          <w:rFonts w:ascii="Arial" w:hAnsi="Arial"/>
          <w:noProof w:val="0"/>
          <w:u w:val="single"/>
          <w:rtl/>
        </w:rPr>
        <w:t>השני</w:t>
      </w:r>
      <w:r>
        <w:rPr>
          <w:rFonts w:ascii="Arial" w:hAnsi="Arial"/>
          <w:noProof w:val="0"/>
          <w:rtl/>
        </w:rPr>
        <w:t>, בית הדין הרבני נתן</w:t>
      </w:r>
      <w:r w:rsidR="00864848">
        <w:rPr>
          <w:rFonts w:ascii="Arial" w:hAnsi="Arial" w:hint="cs"/>
          <w:noProof w:val="0"/>
          <w:rtl/>
        </w:rPr>
        <w:t xml:space="preserve"> החלטה,</w:t>
      </w:r>
      <w:r>
        <w:rPr>
          <w:rFonts w:ascii="Arial" w:hAnsi="Arial"/>
          <w:noProof w:val="0"/>
          <w:rtl/>
        </w:rPr>
        <w:t xml:space="preserve"> </w:t>
      </w:r>
      <w:r w:rsidR="00864848">
        <w:rPr>
          <w:rFonts w:ascii="Arial" w:hAnsi="Arial" w:hint="cs"/>
          <w:noProof w:val="0"/>
          <w:rtl/>
        </w:rPr>
        <w:t>מ</w:t>
      </w:r>
      <w:r>
        <w:rPr>
          <w:rFonts w:ascii="Arial" w:hAnsi="Arial"/>
          <w:noProof w:val="0"/>
          <w:rtl/>
        </w:rPr>
        <w:t>יום 21.7.2024</w:t>
      </w:r>
      <w:r w:rsidR="00864848">
        <w:rPr>
          <w:rFonts w:ascii="Arial" w:hAnsi="Arial" w:hint="cs"/>
          <w:noProof w:val="0"/>
          <w:rtl/>
        </w:rPr>
        <w:t>,</w:t>
      </w:r>
      <w:r>
        <w:rPr>
          <w:rFonts w:ascii="Arial" w:hAnsi="Arial"/>
          <w:noProof w:val="0"/>
          <w:rtl/>
        </w:rPr>
        <w:t xml:space="preserve"> לפיה הסמכות העניינית נתונה לו. </w:t>
      </w:r>
      <w:r>
        <w:rPr>
          <w:rFonts w:ascii="Arial" w:hAnsi="Arial"/>
          <w:noProof w:val="0"/>
          <w:u w:val="single"/>
          <w:rtl/>
        </w:rPr>
        <w:t>השלישי,</w:t>
      </w:r>
      <w:r>
        <w:rPr>
          <w:rFonts w:ascii="Arial" w:hAnsi="Arial"/>
          <w:noProof w:val="0"/>
          <w:rtl/>
        </w:rPr>
        <w:t xml:space="preserve"> כיבוד ערכאות הדדי שנקבע בבג"ץ פלמן, מחייב את סילוק התביעה על הסף. </w:t>
      </w:r>
    </w:p>
    <w:p w:rsidR="00F73645" w:rsidRDefault="00F73645" w:rsidP="00F73645">
      <w:pPr>
        <w:pStyle w:val="ac"/>
        <w:spacing w:line="360" w:lineRule="auto"/>
        <w:ind w:left="792"/>
        <w:jc w:val="both"/>
        <w:rPr>
          <w:rFonts w:ascii="Arial" w:hAnsi="Arial"/>
          <w:noProof w:val="0"/>
          <w:rtl/>
        </w:rPr>
      </w:pPr>
    </w:p>
    <w:p w:rsidR="00F72537" w:rsidRDefault="00F72537" w:rsidP="00F73645">
      <w:pPr>
        <w:pStyle w:val="ac"/>
        <w:spacing w:line="360" w:lineRule="auto"/>
        <w:ind w:left="792"/>
        <w:jc w:val="both"/>
        <w:rPr>
          <w:rFonts w:ascii="Arial" w:hAnsi="Arial"/>
          <w:noProof w:val="0"/>
          <w:rtl/>
        </w:rPr>
      </w:pPr>
    </w:p>
    <w:p w:rsidR="00F72537" w:rsidRDefault="00F72537" w:rsidP="00F73645">
      <w:pPr>
        <w:pStyle w:val="ac"/>
        <w:spacing w:line="360" w:lineRule="auto"/>
        <w:ind w:left="792"/>
        <w:jc w:val="both"/>
        <w:rPr>
          <w:rFonts w:ascii="Arial" w:hAnsi="Arial"/>
          <w:noProof w:val="0"/>
          <w:rtl/>
        </w:rPr>
      </w:pPr>
    </w:p>
    <w:p w:rsidR="00F72537" w:rsidRDefault="00F72537" w:rsidP="00F73645">
      <w:pPr>
        <w:pStyle w:val="ac"/>
        <w:spacing w:line="360" w:lineRule="auto"/>
        <w:ind w:left="792"/>
        <w:jc w:val="both"/>
        <w:rPr>
          <w:rFonts w:ascii="Arial" w:hAnsi="Arial"/>
          <w:noProof w:val="0"/>
          <w:rtl/>
        </w:rPr>
      </w:pPr>
    </w:p>
    <w:p w:rsidR="00F73645" w:rsidRDefault="00F73645" w:rsidP="00F73645">
      <w:pPr>
        <w:pStyle w:val="ac"/>
        <w:numPr>
          <w:ilvl w:val="0"/>
          <w:numId w:val="2"/>
        </w:numPr>
        <w:spacing w:line="360" w:lineRule="auto"/>
        <w:jc w:val="both"/>
        <w:rPr>
          <w:rFonts w:ascii="Arial" w:hAnsi="Arial"/>
          <w:noProof w:val="0"/>
          <w:rtl/>
        </w:rPr>
      </w:pPr>
      <w:r>
        <w:rPr>
          <w:rFonts w:ascii="Arial" w:hAnsi="Arial"/>
          <w:b/>
          <w:bCs/>
          <w:noProof w:val="0"/>
          <w:u w:val="single"/>
          <w:rtl/>
        </w:rPr>
        <w:t xml:space="preserve">טענות המשיבה </w:t>
      </w:r>
    </w:p>
    <w:p w:rsidR="00F73645" w:rsidRDefault="00F73645" w:rsidP="00F73645">
      <w:pPr>
        <w:pStyle w:val="ac"/>
        <w:spacing w:line="360" w:lineRule="auto"/>
        <w:ind w:left="851"/>
        <w:jc w:val="both"/>
        <w:rPr>
          <w:rFonts w:ascii="Arial" w:hAnsi="Arial"/>
          <w:noProof w:val="0"/>
        </w:rPr>
      </w:pPr>
    </w:p>
    <w:p w:rsidR="00F73645" w:rsidRDefault="00F73645" w:rsidP="00F73645">
      <w:pPr>
        <w:pStyle w:val="ac"/>
        <w:numPr>
          <w:ilvl w:val="1"/>
          <w:numId w:val="2"/>
        </w:numPr>
        <w:spacing w:line="360" w:lineRule="auto"/>
        <w:ind w:left="907" w:hanging="567"/>
        <w:jc w:val="both"/>
        <w:rPr>
          <w:rFonts w:ascii="Arial" w:hAnsi="Arial"/>
          <w:noProof w:val="0"/>
        </w:rPr>
      </w:pPr>
      <w:r>
        <w:rPr>
          <w:rFonts w:ascii="Arial" w:hAnsi="Arial"/>
          <w:noProof w:val="0"/>
          <w:rtl/>
        </w:rPr>
        <w:t xml:space="preserve">ביום 4.8.2024, כשבועיים לאחר שניתנה החלטת בית הדין הרבני, המשיבה הגישה לבית המשפט בקשה לקביעת סמכות (בקשה 5). </w:t>
      </w:r>
    </w:p>
    <w:p w:rsidR="0054696A" w:rsidRDefault="0054696A" w:rsidP="0054696A">
      <w:pPr>
        <w:pStyle w:val="ac"/>
        <w:spacing w:line="360" w:lineRule="auto"/>
        <w:ind w:left="907"/>
        <w:jc w:val="both"/>
        <w:rPr>
          <w:rFonts w:ascii="Arial" w:hAnsi="Arial"/>
          <w:noProof w:val="0"/>
        </w:rPr>
      </w:pPr>
    </w:p>
    <w:p w:rsidR="00F73645" w:rsidRDefault="00F73645" w:rsidP="00F73645">
      <w:pPr>
        <w:pStyle w:val="ac"/>
        <w:numPr>
          <w:ilvl w:val="1"/>
          <w:numId w:val="2"/>
        </w:numPr>
        <w:spacing w:line="360" w:lineRule="auto"/>
        <w:ind w:left="907" w:hanging="567"/>
        <w:jc w:val="both"/>
        <w:rPr>
          <w:rFonts w:ascii="Arial" w:hAnsi="Arial"/>
          <w:noProof w:val="0"/>
        </w:rPr>
      </w:pPr>
      <w:r>
        <w:rPr>
          <w:rFonts w:ascii="Arial" w:hAnsi="Arial"/>
          <w:noProof w:val="0"/>
          <w:rtl/>
        </w:rPr>
        <w:t xml:space="preserve">לטענת המשיבה, כריכת הרכוש לתביעת הגירושין שהגיש המבקש לבית הדין הרבני, איננה כדין ואיננה כנה, </w:t>
      </w:r>
      <w:r>
        <w:rPr>
          <w:rFonts w:ascii="Arial" w:hAnsi="Arial"/>
          <w:b/>
          <w:bCs/>
          <w:noProof w:val="0"/>
          <w:rtl/>
        </w:rPr>
        <w:t>מאחר והמבקש העלים מכתב התביעה מספר פרטי רכוש משמעותיים</w:t>
      </w:r>
      <w:r>
        <w:rPr>
          <w:rFonts w:ascii="Arial" w:hAnsi="Arial"/>
          <w:noProof w:val="0"/>
          <w:rtl/>
        </w:rPr>
        <w:t xml:space="preserve">, ובהם חנות הרשומה על שמו, ושני חשבונות בנק (אחד עסקי ואחר בשיתוף עם אחיו ואמו).  </w:t>
      </w:r>
    </w:p>
    <w:p w:rsidR="00F73645" w:rsidRDefault="00F73645" w:rsidP="00F73645">
      <w:pPr>
        <w:spacing w:line="360" w:lineRule="auto"/>
        <w:jc w:val="both"/>
        <w:rPr>
          <w:rFonts w:ascii="Arial" w:hAnsi="Arial"/>
          <w:noProof w:val="0"/>
        </w:rPr>
      </w:pPr>
    </w:p>
    <w:p w:rsidR="00F73645" w:rsidRDefault="00F73645" w:rsidP="00F73645">
      <w:pPr>
        <w:spacing w:line="360" w:lineRule="auto"/>
        <w:jc w:val="both"/>
        <w:rPr>
          <w:rFonts w:ascii="Arial" w:hAnsi="Arial"/>
          <w:b/>
          <w:bCs/>
          <w:noProof w:val="0"/>
          <w:u w:val="single"/>
          <w:rtl/>
        </w:rPr>
      </w:pPr>
      <w:r>
        <w:rPr>
          <w:rFonts w:ascii="Arial" w:hAnsi="Arial"/>
          <w:b/>
          <w:bCs/>
          <w:noProof w:val="0"/>
          <w:u w:val="single"/>
          <w:rtl/>
        </w:rPr>
        <w:t xml:space="preserve">דיון והכרעה </w:t>
      </w:r>
    </w:p>
    <w:p w:rsidR="00F73645" w:rsidRDefault="00F73645" w:rsidP="00F73645">
      <w:pPr>
        <w:spacing w:line="360" w:lineRule="auto"/>
        <w:jc w:val="both"/>
        <w:rPr>
          <w:rFonts w:ascii="Arial" w:hAnsi="Arial"/>
          <w:noProof w:val="0"/>
          <w:rtl/>
        </w:rPr>
      </w:pPr>
    </w:p>
    <w:p w:rsidR="00F73645" w:rsidRDefault="00F73645" w:rsidP="00F73645">
      <w:pPr>
        <w:pStyle w:val="ac"/>
        <w:numPr>
          <w:ilvl w:val="0"/>
          <w:numId w:val="2"/>
        </w:numPr>
        <w:spacing w:line="360" w:lineRule="auto"/>
        <w:jc w:val="both"/>
        <w:rPr>
          <w:rFonts w:ascii="Arial" w:hAnsi="Arial"/>
          <w:noProof w:val="0"/>
          <w:rtl/>
        </w:rPr>
      </w:pPr>
      <w:r>
        <w:rPr>
          <w:rFonts w:ascii="Arial" w:hAnsi="Arial"/>
          <w:noProof w:val="0"/>
          <w:rtl/>
        </w:rPr>
        <w:t xml:space="preserve">לאחר שעיינתי בבקשת המבקש למחיקת על הסף, ובבקשה לקביעת סמכות שהגישה המשיבה, הגעתי למסקנה, כי </w:t>
      </w:r>
      <w:r>
        <w:rPr>
          <w:rFonts w:ascii="Arial" w:hAnsi="Arial"/>
          <w:b/>
          <w:bCs/>
          <w:noProof w:val="0"/>
          <w:rtl/>
        </w:rPr>
        <w:t>דין הבקשה לסילוק על הסף – להתקבל</w:t>
      </w:r>
      <w:r>
        <w:rPr>
          <w:rFonts w:ascii="Arial" w:hAnsi="Arial"/>
          <w:noProof w:val="0"/>
          <w:rtl/>
        </w:rPr>
        <w:t xml:space="preserve">. מסקנתי זו מבוססת על הטעמים שלהלן. </w:t>
      </w:r>
    </w:p>
    <w:p w:rsidR="00F73645" w:rsidRDefault="00F73645" w:rsidP="00F73645">
      <w:pPr>
        <w:pStyle w:val="ac"/>
        <w:spacing w:line="360" w:lineRule="auto"/>
        <w:ind w:left="360"/>
        <w:jc w:val="both"/>
        <w:rPr>
          <w:rFonts w:ascii="Arial" w:hAnsi="Arial"/>
          <w:noProof w:val="0"/>
        </w:rPr>
      </w:pPr>
    </w:p>
    <w:p w:rsidR="00F73645" w:rsidRDefault="00F73645" w:rsidP="00F73645">
      <w:pPr>
        <w:pStyle w:val="ac"/>
        <w:numPr>
          <w:ilvl w:val="0"/>
          <w:numId w:val="2"/>
        </w:numPr>
        <w:spacing w:line="360" w:lineRule="auto"/>
        <w:jc w:val="both"/>
        <w:rPr>
          <w:rFonts w:ascii="Arial" w:hAnsi="Arial"/>
          <w:noProof w:val="0"/>
        </w:rPr>
      </w:pPr>
      <w:r>
        <w:rPr>
          <w:rFonts w:ascii="Arial" w:hAnsi="Arial"/>
          <w:noProof w:val="0"/>
          <w:rtl/>
        </w:rPr>
        <w:t xml:space="preserve">הלכה פסוקה היא, כי על המבקש לכרוך נושאים נלווים לתביעת גירושין, לעמוד בתנאי  </w:t>
      </w:r>
      <w:r>
        <w:rPr>
          <w:rFonts w:ascii="Arial" w:hAnsi="Arial"/>
          <w:b/>
          <w:bCs/>
          <w:noProof w:val="0"/>
          <w:u w:val="single"/>
          <w:rtl/>
        </w:rPr>
        <w:t>"המבחן המשולש"</w:t>
      </w:r>
      <w:r>
        <w:rPr>
          <w:rFonts w:ascii="Arial" w:hAnsi="Arial"/>
          <w:noProof w:val="0"/>
          <w:rtl/>
        </w:rPr>
        <w:t xml:space="preserve"> ע"א 118/80 </w:t>
      </w:r>
      <w:r>
        <w:rPr>
          <w:rFonts w:ascii="Arial" w:hAnsi="Arial"/>
          <w:b/>
          <w:bCs/>
          <w:noProof w:val="0"/>
          <w:rtl/>
        </w:rPr>
        <w:t>גבעולי נ' גבעולי</w:t>
      </w:r>
      <w:r>
        <w:rPr>
          <w:rFonts w:ascii="Arial" w:hAnsi="Arial"/>
          <w:noProof w:val="0"/>
          <w:rtl/>
        </w:rPr>
        <w:t xml:space="preserve">, פ"ד לד (4) 155): </w:t>
      </w:r>
      <w:r>
        <w:rPr>
          <w:rFonts w:ascii="Arial" w:hAnsi="Arial"/>
          <w:b/>
          <w:bCs/>
          <w:noProof w:val="0"/>
          <w:rtl/>
        </w:rPr>
        <w:t>א.</w:t>
      </w:r>
      <w:r>
        <w:rPr>
          <w:rFonts w:ascii="Arial" w:hAnsi="Arial"/>
          <w:noProof w:val="0"/>
          <w:rtl/>
        </w:rPr>
        <w:t xml:space="preserve"> על תביעת הגירושין להיות כנה;                </w:t>
      </w:r>
      <w:r>
        <w:rPr>
          <w:rFonts w:ascii="Arial" w:hAnsi="Arial"/>
          <w:b/>
          <w:bCs/>
          <w:noProof w:val="0"/>
          <w:rtl/>
        </w:rPr>
        <w:t>ב.</w:t>
      </w:r>
      <w:r>
        <w:rPr>
          <w:rFonts w:ascii="Arial" w:hAnsi="Arial"/>
          <w:noProof w:val="0"/>
          <w:rtl/>
        </w:rPr>
        <w:t xml:space="preserve"> על הכריכה להיעשות כדין; </w:t>
      </w:r>
      <w:r>
        <w:rPr>
          <w:rFonts w:ascii="Arial" w:hAnsi="Arial"/>
          <w:b/>
          <w:bCs/>
          <w:noProof w:val="0"/>
          <w:rtl/>
        </w:rPr>
        <w:t>ג.</w:t>
      </w:r>
      <w:r>
        <w:rPr>
          <w:rFonts w:ascii="Arial" w:hAnsi="Arial"/>
          <w:noProof w:val="0"/>
          <w:rtl/>
        </w:rPr>
        <w:t xml:space="preserve"> על הכריכה עצמה להיות כנה. אם כן, </w:t>
      </w:r>
      <w:r>
        <w:rPr>
          <w:rFonts w:ascii="Arial" w:hAnsi="Arial"/>
          <w:b/>
          <w:bCs/>
          <w:noProof w:val="0"/>
          <w:rtl/>
        </w:rPr>
        <w:t>הנטל להוכיח</w:t>
      </w:r>
      <w:r>
        <w:rPr>
          <w:rFonts w:ascii="Arial" w:hAnsi="Arial"/>
          <w:noProof w:val="0"/>
          <w:rtl/>
        </w:rPr>
        <w:t xml:space="preserve"> את התקיימותם של מבחני הכריכה, מוטל על הטוען, כי התביעה כנה והכריכה נעשתה כדין ובכנות.  [ראה עניין </w:t>
      </w:r>
      <w:r>
        <w:rPr>
          <w:rFonts w:ascii="Arial" w:hAnsi="Arial"/>
          <w:b/>
          <w:bCs/>
          <w:noProof w:val="0"/>
          <w:rtl/>
        </w:rPr>
        <w:t>גבעולי</w:t>
      </w:r>
      <w:r>
        <w:rPr>
          <w:rFonts w:ascii="Arial" w:hAnsi="Arial"/>
          <w:noProof w:val="0"/>
          <w:rtl/>
        </w:rPr>
        <w:t xml:space="preserve"> לעיל; כן ראה רמ"ש (ת"א) 58775-11-17 </w:t>
      </w:r>
      <w:r>
        <w:rPr>
          <w:rFonts w:ascii="Arial" w:hAnsi="Arial"/>
          <w:b/>
          <w:bCs/>
          <w:noProof w:val="0"/>
          <w:rtl/>
        </w:rPr>
        <w:t>ע.ה.מ נ' ת.ה.</w:t>
      </w:r>
      <w:r>
        <w:rPr>
          <w:rFonts w:ascii="Arial" w:hAnsi="Arial"/>
          <w:noProof w:val="0"/>
          <w:rtl/>
        </w:rPr>
        <w:t xml:space="preserve"> [פורסם בנבו] 8.2.2018. </w:t>
      </w:r>
    </w:p>
    <w:p w:rsidR="00F73645" w:rsidRDefault="00F73645" w:rsidP="00F73645">
      <w:pPr>
        <w:pStyle w:val="ac"/>
        <w:spacing w:line="360" w:lineRule="auto"/>
        <w:rPr>
          <w:rFonts w:ascii="Arial" w:hAnsi="Arial"/>
          <w:b/>
          <w:bCs/>
          <w:noProof w:val="0"/>
        </w:rPr>
      </w:pPr>
    </w:p>
    <w:p w:rsidR="00F73645" w:rsidRDefault="00F73645" w:rsidP="00F73645">
      <w:pPr>
        <w:pStyle w:val="ac"/>
        <w:numPr>
          <w:ilvl w:val="0"/>
          <w:numId w:val="2"/>
        </w:numPr>
        <w:spacing w:line="360" w:lineRule="auto"/>
        <w:jc w:val="both"/>
        <w:rPr>
          <w:rFonts w:ascii="Arial" w:hAnsi="Arial"/>
          <w:noProof w:val="0"/>
          <w:rtl/>
        </w:rPr>
      </w:pPr>
      <w:r w:rsidRPr="00F1144E">
        <w:rPr>
          <w:rFonts w:ascii="Arial" w:hAnsi="Arial"/>
          <w:b/>
          <w:bCs/>
          <w:noProof w:val="0"/>
          <w:u w:val="single"/>
          <w:rtl/>
        </w:rPr>
        <w:t>בהלכת פלמן, נדונה השאלה - לאיזו ערכאה הסמכות לדון בשאלה האם התקיימו מבחני הכריכה</w:t>
      </w:r>
      <w:r w:rsidR="00F1144E" w:rsidRPr="00F1144E">
        <w:rPr>
          <w:rFonts w:ascii="Arial" w:hAnsi="Arial" w:hint="cs"/>
          <w:b/>
          <w:bCs/>
          <w:noProof w:val="0"/>
          <w:u w:val="single"/>
          <w:rtl/>
        </w:rPr>
        <w:t>?</w:t>
      </w:r>
      <w:r>
        <w:rPr>
          <w:rFonts w:ascii="Arial" w:hAnsi="Arial"/>
          <w:noProof w:val="0"/>
          <w:rtl/>
        </w:rPr>
        <w:t xml:space="preserve"> (בג"ץ 8497/00 </w:t>
      </w:r>
      <w:r>
        <w:rPr>
          <w:rFonts w:ascii="Arial" w:hAnsi="Arial"/>
          <w:b/>
          <w:bCs/>
          <w:noProof w:val="0"/>
          <w:rtl/>
        </w:rPr>
        <w:t>פייג פלמן נ' פלמן</w:t>
      </w:r>
      <w:r>
        <w:rPr>
          <w:rFonts w:ascii="Arial" w:hAnsi="Arial"/>
          <w:noProof w:val="0"/>
          <w:rtl/>
        </w:rPr>
        <w:t xml:space="preserve">, פ"ד נז (2) 118, 134); וכך נקבע שם: </w:t>
      </w:r>
      <w:r>
        <w:rPr>
          <w:rFonts w:ascii="Arial" w:hAnsi="Arial"/>
          <w:b/>
          <w:bCs/>
          <w:noProof w:val="0"/>
          <w:rtl/>
        </w:rPr>
        <w:t xml:space="preserve">"שתי הערכאות מוסמכות להכריע בשאלת התקיימות תנאי הכריכה, שכן בכוחה של כל ערכאה להכריע בטענות המועלות כנגד סמכותה לדון בתביעה שבפניה". </w:t>
      </w:r>
    </w:p>
    <w:p w:rsidR="00F73645" w:rsidRDefault="00F73645" w:rsidP="00F73645">
      <w:pPr>
        <w:pStyle w:val="ac"/>
        <w:spacing w:line="360" w:lineRule="auto"/>
        <w:ind w:left="360"/>
        <w:jc w:val="both"/>
        <w:rPr>
          <w:rFonts w:ascii="Arial" w:hAnsi="Arial"/>
          <w:b/>
          <w:bCs/>
          <w:noProof w:val="0"/>
        </w:rPr>
      </w:pPr>
    </w:p>
    <w:p w:rsidR="00F73645" w:rsidRDefault="00F73645" w:rsidP="00CB35FE">
      <w:pPr>
        <w:pStyle w:val="ac"/>
        <w:numPr>
          <w:ilvl w:val="0"/>
          <w:numId w:val="2"/>
        </w:numPr>
        <w:spacing w:line="360" w:lineRule="auto"/>
        <w:jc w:val="both"/>
        <w:rPr>
          <w:rFonts w:ascii="Arial" w:hAnsi="Arial"/>
          <w:b/>
          <w:bCs/>
          <w:noProof w:val="0"/>
        </w:rPr>
      </w:pPr>
      <w:r>
        <w:rPr>
          <w:rFonts w:ascii="Arial" w:hAnsi="Arial"/>
          <w:noProof w:val="0"/>
          <w:rtl/>
        </w:rPr>
        <w:t xml:space="preserve">שני תרחישים עלולים להתעורר בשל כך ששתי הערכאות מוסמכות לדון בשאלת התקיימותם של מבחני הכריכה (הלכת פלמן, שם בעמ' 134); </w:t>
      </w:r>
      <w:r>
        <w:rPr>
          <w:rFonts w:ascii="Arial" w:hAnsi="Arial"/>
          <w:b/>
          <w:bCs/>
          <w:noProof w:val="0"/>
          <w:rtl/>
        </w:rPr>
        <w:t>האחד</w:t>
      </w:r>
      <w:r>
        <w:rPr>
          <w:rFonts w:ascii="Arial" w:hAnsi="Arial"/>
          <w:noProof w:val="0"/>
          <w:rtl/>
        </w:rPr>
        <w:t xml:space="preserve"> – מצב בו שאלת הסמכות טרם הוכרעה על ידי מי מבין שתי הערכאות. </w:t>
      </w:r>
      <w:r>
        <w:rPr>
          <w:rFonts w:ascii="Arial" w:hAnsi="Arial"/>
          <w:b/>
          <w:bCs/>
          <w:noProof w:val="0"/>
          <w:rtl/>
        </w:rPr>
        <w:t xml:space="preserve">השני </w:t>
      </w:r>
      <w:r>
        <w:rPr>
          <w:rFonts w:ascii="Arial" w:hAnsi="Arial"/>
          <w:noProof w:val="0"/>
          <w:rtl/>
        </w:rPr>
        <w:t xml:space="preserve">– מצב בו ערכאה אחת הקדימה את חברתה והכריעה בשאלת הסמכות. </w:t>
      </w:r>
      <w:r>
        <w:rPr>
          <w:rFonts w:ascii="Arial" w:hAnsi="Arial"/>
          <w:b/>
          <w:bCs/>
          <w:noProof w:val="0"/>
          <w:rtl/>
        </w:rPr>
        <w:t xml:space="preserve">האם על הערכאה האחרת לסגת מפני אותה הכרעה, אם לאו? זו היתה השאלה שעמדה במוקד ההכרעה בפרשת פלמן, </w:t>
      </w:r>
      <w:r>
        <w:rPr>
          <w:rFonts w:ascii="Arial" w:hAnsi="Arial"/>
          <w:b/>
          <w:bCs/>
          <w:noProof w:val="0"/>
          <w:u w:val="single"/>
          <w:rtl/>
        </w:rPr>
        <w:t>וזו גם השאלה הטעונה הכרעה במקרה דנא</w:t>
      </w:r>
      <w:r>
        <w:rPr>
          <w:rFonts w:ascii="Arial" w:hAnsi="Arial"/>
          <w:b/>
          <w:bCs/>
          <w:noProof w:val="0"/>
          <w:rtl/>
        </w:rPr>
        <w:t xml:space="preserve">. </w:t>
      </w:r>
    </w:p>
    <w:p w:rsidR="00F73645" w:rsidRDefault="00F73645" w:rsidP="00F73645">
      <w:pPr>
        <w:pStyle w:val="ac"/>
        <w:spacing w:line="360" w:lineRule="auto"/>
        <w:rPr>
          <w:rFonts w:ascii="Arial" w:hAnsi="Arial"/>
          <w:noProof w:val="0"/>
          <w:rtl/>
        </w:rPr>
      </w:pPr>
    </w:p>
    <w:p w:rsidR="00F72537" w:rsidRDefault="00F72537" w:rsidP="00F73645">
      <w:pPr>
        <w:pStyle w:val="ac"/>
        <w:spacing w:line="360" w:lineRule="auto"/>
        <w:rPr>
          <w:rFonts w:ascii="Arial" w:hAnsi="Arial"/>
          <w:noProof w:val="0"/>
        </w:rPr>
      </w:pPr>
    </w:p>
    <w:p w:rsidR="00F73645" w:rsidRDefault="00F73645" w:rsidP="00F1144E">
      <w:pPr>
        <w:pStyle w:val="ac"/>
        <w:numPr>
          <w:ilvl w:val="0"/>
          <w:numId w:val="2"/>
        </w:numPr>
        <w:spacing w:line="360" w:lineRule="auto"/>
        <w:jc w:val="both"/>
        <w:rPr>
          <w:rFonts w:ascii="Arial" w:hAnsi="Arial"/>
          <w:b/>
          <w:bCs/>
          <w:noProof w:val="0"/>
          <w:rtl/>
        </w:rPr>
      </w:pPr>
      <w:r>
        <w:rPr>
          <w:rFonts w:ascii="Arial" w:hAnsi="Arial"/>
          <w:b/>
          <w:bCs/>
          <w:noProof w:val="0"/>
          <w:rtl/>
        </w:rPr>
        <w:t>הכלל שנקבע בהלכת פלמן הוא כדלהלן</w:t>
      </w:r>
      <w:r>
        <w:rPr>
          <w:rFonts w:ascii="Arial" w:hAnsi="Arial"/>
          <w:noProof w:val="0"/>
          <w:rtl/>
        </w:rPr>
        <w:t xml:space="preserve"> - כאשר ערכאה אחת הכריעה, כי בסמכותה לדון בענייני הרכוש של בני הזוג, הרי שככלל, </w:t>
      </w:r>
      <w:r>
        <w:rPr>
          <w:rFonts w:ascii="Arial" w:hAnsi="Arial"/>
          <w:b/>
          <w:bCs/>
          <w:noProof w:val="0"/>
          <w:rtl/>
        </w:rPr>
        <w:t xml:space="preserve">על הערכאה השנייה לסרב לדון בטענות הנוגעות לסמכות, </w:t>
      </w:r>
      <w:r w:rsidRPr="00CB35FE">
        <w:rPr>
          <w:rFonts w:ascii="Arial" w:hAnsi="Arial"/>
          <w:b/>
          <w:bCs/>
          <w:noProof w:val="0"/>
          <w:rtl/>
        </w:rPr>
        <w:t>ועליה להימנע מלדון בתביעת הרכוש שהוגשה לה</w:t>
      </w:r>
      <w:r w:rsidR="00CB35FE">
        <w:rPr>
          <w:rFonts w:ascii="Arial" w:hAnsi="Arial" w:hint="cs"/>
          <w:b/>
          <w:bCs/>
          <w:noProof w:val="0"/>
          <w:rtl/>
        </w:rPr>
        <w:t xml:space="preserve">. </w:t>
      </w:r>
      <w:r>
        <w:rPr>
          <w:rFonts w:ascii="Arial" w:hAnsi="Arial"/>
          <w:noProof w:val="0"/>
          <w:rtl/>
        </w:rPr>
        <w:t>טענות כנגד החלטת הערכאה הראשונה בנוגע לסמכותה, תתבררנה בדרך של ביקורת ישירה</w:t>
      </w:r>
      <w:r w:rsidR="00712D95">
        <w:rPr>
          <w:rFonts w:ascii="Arial" w:hAnsi="Arial" w:hint="cs"/>
          <w:noProof w:val="0"/>
          <w:rtl/>
        </w:rPr>
        <w:t xml:space="preserve">, ובמקרה דנא בדרך של </w:t>
      </w:r>
      <w:r>
        <w:rPr>
          <w:rFonts w:ascii="Arial" w:hAnsi="Arial"/>
          <w:noProof w:val="0"/>
          <w:rtl/>
        </w:rPr>
        <w:t>ערעור</w:t>
      </w:r>
      <w:r w:rsidR="00712D95">
        <w:rPr>
          <w:rFonts w:ascii="Arial" w:hAnsi="Arial" w:hint="cs"/>
          <w:noProof w:val="0"/>
          <w:rtl/>
        </w:rPr>
        <w:t xml:space="preserve"> לבית הדין הרבני הגדול, ולא ב</w:t>
      </w:r>
      <w:r w:rsidR="00F1144E">
        <w:rPr>
          <w:rFonts w:ascii="Arial" w:hAnsi="Arial" w:hint="cs"/>
          <w:noProof w:val="0"/>
          <w:rtl/>
        </w:rPr>
        <w:t>"מסלול עוקף"</w:t>
      </w:r>
      <w:r w:rsidR="00712D95">
        <w:rPr>
          <w:rFonts w:ascii="Arial" w:hAnsi="Arial" w:hint="cs"/>
          <w:noProof w:val="0"/>
          <w:rtl/>
        </w:rPr>
        <w:t xml:space="preserve"> </w:t>
      </w:r>
      <w:r w:rsidR="00F1144E">
        <w:rPr>
          <w:rFonts w:ascii="Arial" w:hAnsi="Arial" w:hint="cs"/>
          <w:noProof w:val="0"/>
          <w:rtl/>
        </w:rPr>
        <w:t xml:space="preserve">של ההליך בבית הדין הרבני, על ידי </w:t>
      </w:r>
      <w:r w:rsidR="00712D95">
        <w:rPr>
          <w:rFonts w:ascii="Arial" w:hAnsi="Arial" w:hint="cs"/>
          <w:noProof w:val="0"/>
          <w:rtl/>
        </w:rPr>
        <w:t xml:space="preserve">פנייה לבית המשפט שיבחן את נכונותה של החלטת בית הדין הרבני. </w:t>
      </w:r>
      <w:r>
        <w:rPr>
          <w:rFonts w:ascii="Arial" w:hAnsi="Arial"/>
          <w:noProof w:val="0"/>
          <w:rtl/>
        </w:rPr>
        <w:t xml:space="preserve"> </w:t>
      </w:r>
    </w:p>
    <w:p w:rsidR="00F73645" w:rsidRDefault="00F73645" w:rsidP="00F73645">
      <w:pPr>
        <w:pStyle w:val="ac"/>
        <w:rPr>
          <w:rFonts w:ascii="Arial" w:hAnsi="Arial"/>
          <w:noProof w:val="0"/>
        </w:rPr>
      </w:pPr>
    </w:p>
    <w:p w:rsidR="00F73645" w:rsidRDefault="00F73645" w:rsidP="00F73645">
      <w:pPr>
        <w:pStyle w:val="ac"/>
        <w:numPr>
          <w:ilvl w:val="0"/>
          <w:numId w:val="2"/>
        </w:numPr>
        <w:spacing w:line="360" w:lineRule="auto"/>
        <w:jc w:val="both"/>
        <w:rPr>
          <w:rFonts w:ascii="Arial" w:hAnsi="Arial"/>
          <w:b/>
          <w:bCs/>
          <w:noProof w:val="0"/>
          <w:rtl/>
        </w:rPr>
      </w:pPr>
      <w:r>
        <w:rPr>
          <w:rFonts w:ascii="Arial" w:hAnsi="Arial"/>
          <w:noProof w:val="0"/>
          <w:rtl/>
        </w:rPr>
        <w:t xml:space="preserve">יחד עם זאת, לכלל זה נקבע חריג, לפיו (הלכת פלמן, עמ' 138): </w:t>
      </w:r>
    </w:p>
    <w:p w:rsidR="00F73645" w:rsidRDefault="00F73645" w:rsidP="00F73645">
      <w:pPr>
        <w:pStyle w:val="ac"/>
      </w:pPr>
    </w:p>
    <w:p w:rsidR="00F73645" w:rsidRDefault="00F73645" w:rsidP="00F73645">
      <w:pPr>
        <w:pStyle w:val="ac"/>
        <w:spacing w:line="360" w:lineRule="auto"/>
        <w:ind w:left="992" w:right="993"/>
        <w:jc w:val="both"/>
        <w:rPr>
          <w:rFonts w:ascii="Arial" w:hAnsi="Arial"/>
          <w:b/>
          <w:bCs/>
          <w:noProof w:val="0"/>
          <w:rtl/>
        </w:rPr>
      </w:pPr>
      <w:r>
        <w:rPr>
          <w:b/>
          <w:bCs/>
          <w:rtl/>
        </w:rPr>
        <w:t xml:space="preserve">"...אין לקבוע כי בהכרח הערכאה השנייה תיסוג מפני הכרעתה של הערכאה שהקדימה להחליט בשאלת הסמכות. בשל עקרון הכיבוד ההדדי בין הערכאות אני סבורה כי </w:t>
      </w:r>
      <w:r>
        <w:rPr>
          <w:b/>
          <w:bCs/>
          <w:u w:val="single"/>
          <w:rtl/>
        </w:rPr>
        <w:t>רק במקרים חריגים, ובהתקיים 'טעם מיוחד'</w:t>
      </w:r>
      <w:r>
        <w:rPr>
          <w:b/>
          <w:bCs/>
          <w:rtl/>
        </w:rPr>
        <w:t xml:space="preserve"> שיצדיק זאת, תחליט הערכאה השנייה בשאלת סמכותה לדון בסוגיה שנתבעה בפניה, אף שהערכאה האחרת כבר החליטה כי בסמכותה לדון באותה הסוגיה ממש".</w:t>
      </w:r>
      <w:r>
        <w:rPr>
          <w:rFonts w:ascii="Arial" w:hAnsi="Arial"/>
          <w:b/>
          <w:bCs/>
          <w:noProof w:val="0"/>
          <w:rtl/>
        </w:rPr>
        <w:t xml:space="preserve"> </w:t>
      </w:r>
      <w:r>
        <w:rPr>
          <w:rFonts w:ascii="Arial" w:hAnsi="Arial"/>
          <w:noProof w:val="0"/>
          <w:rtl/>
        </w:rPr>
        <w:t>ההדגשה אינה במקור.</w:t>
      </w:r>
      <w:r>
        <w:rPr>
          <w:rFonts w:ascii="Arial" w:hAnsi="Arial"/>
          <w:b/>
          <w:bCs/>
          <w:noProof w:val="0"/>
          <w:rtl/>
        </w:rPr>
        <w:t xml:space="preserve"> </w:t>
      </w:r>
    </w:p>
    <w:p w:rsidR="00F73645" w:rsidRDefault="00F73645" w:rsidP="00F73645">
      <w:pPr>
        <w:pStyle w:val="ac"/>
        <w:rPr>
          <w:rFonts w:ascii="Arial" w:hAnsi="Arial"/>
          <w:noProof w:val="0"/>
        </w:rPr>
      </w:pPr>
    </w:p>
    <w:p w:rsidR="00F73645" w:rsidRDefault="00F73645" w:rsidP="00F73645">
      <w:pPr>
        <w:pStyle w:val="ac"/>
        <w:rPr>
          <w:rFonts w:ascii="Arial" w:hAnsi="Arial"/>
          <w:noProof w:val="0"/>
          <w:rtl/>
        </w:rPr>
      </w:pPr>
    </w:p>
    <w:p w:rsidR="00F73645" w:rsidRDefault="00F73645" w:rsidP="00F73645">
      <w:pPr>
        <w:pStyle w:val="ac"/>
        <w:numPr>
          <w:ilvl w:val="0"/>
          <w:numId w:val="2"/>
        </w:numPr>
        <w:spacing w:line="360" w:lineRule="auto"/>
        <w:jc w:val="both"/>
        <w:rPr>
          <w:rFonts w:ascii="Arial" w:hAnsi="Arial"/>
          <w:noProof w:val="0"/>
          <w:rtl/>
        </w:rPr>
      </w:pPr>
      <w:r>
        <w:rPr>
          <w:rFonts w:ascii="Arial" w:hAnsi="Arial"/>
          <w:noProof w:val="0"/>
          <w:rtl/>
        </w:rPr>
        <w:t>מהם אותם "מקרים חריגים" ומהו "טעם מיוחד" המצדיק, כי בית המשפט ידון בשאלת סמכותו לדון בתביעה הרכושית שהגישה המשיבה, אף שבית הדין הרבני הכריע כבר</w:t>
      </w:r>
      <w:r w:rsidR="00F1144E">
        <w:rPr>
          <w:rFonts w:ascii="Arial" w:hAnsi="Arial" w:hint="cs"/>
          <w:noProof w:val="0"/>
          <w:rtl/>
        </w:rPr>
        <w:t>,</w:t>
      </w:r>
      <w:r>
        <w:rPr>
          <w:rFonts w:ascii="Arial" w:hAnsi="Arial"/>
          <w:noProof w:val="0"/>
          <w:rtl/>
        </w:rPr>
        <w:t xml:space="preserve"> כי בסמכותו לדון בענייני הרכוש של הצדדים? </w:t>
      </w:r>
    </w:p>
    <w:p w:rsidR="00F73645" w:rsidRDefault="00F73645" w:rsidP="00F73645">
      <w:pPr>
        <w:pStyle w:val="ac"/>
        <w:spacing w:line="360" w:lineRule="auto"/>
        <w:ind w:left="360"/>
        <w:jc w:val="both"/>
        <w:rPr>
          <w:rFonts w:ascii="Arial" w:hAnsi="Arial"/>
          <w:noProof w:val="0"/>
        </w:rPr>
      </w:pPr>
      <w:r>
        <w:rPr>
          <w:rFonts w:ascii="Arial" w:hAnsi="Arial"/>
          <w:noProof w:val="0"/>
          <w:rtl/>
        </w:rPr>
        <w:t xml:space="preserve"> </w:t>
      </w:r>
    </w:p>
    <w:p w:rsidR="00F73645" w:rsidRDefault="00F73645" w:rsidP="00F1144E">
      <w:pPr>
        <w:pStyle w:val="ac"/>
        <w:numPr>
          <w:ilvl w:val="0"/>
          <w:numId w:val="2"/>
        </w:numPr>
        <w:spacing w:line="360" w:lineRule="auto"/>
        <w:jc w:val="both"/>
        <w:rPr>
          <w:rFonts w:ascii="Arial" w:hAnsi="Arial"/>
          <w:noProof w:val="0"/>
        </w:rPr>
      </w:pPr>
      <w:r>
        <w:rPr>
          <w:rFonts w:ascii="Arial" w:hAnsi="Arial"/>
          <w:noProof w:val="0"/>
          <w:rtl/>
        </w:rPr>
        <w:t xml:space="preserve">בבג"ץ פלמן הובאו דוגמאות </w:t>
      </w:r>
      <w:r w:rsidR="00EE20FC">
        <w:rPr>
          <w:rFonts w:ascii="Arial" w:hAnsi="Arial" w:hint="cs"/>
          <w:noProof w:val="0"/>
          <w:rtl/>
        </w:rPr>
        <w:t xml:space="preserve">אחדות </w:t>
      </w:r>
      <w:r>
        <w:rPr>
          <w:rFonts w:ascii="Arial" w:hAnsi="Arial"/>
          <w:noProof w:val="0"/>
          <w:rtl/>
        </w:rPr>
        <w:t>לאותו "טעם מיוחד": * מקרה שבו לא נערך כל דיון מקדים בשאלת התקיימותם של מבחני הכריכה, ואז מתעורר חשש</w:t>
      </w:r>
      <w:r w:rsidR="00EE20FC">
        <w:rPr>
          <w:rFonts w:ascii="Arial" w:hAnsi="Arial" w:hint="cs"/>
          <w:noProof w:val="0"/>
          <w:rtl/>
        </w:rPr>
        <w:t>,</w:t>
      </w:r>
      <w:r>
        <w:rPr>
          <w:rFonts w:ascii="Arial" w:hAnsi="Arial"/>
          <w:noProof w:val="0"/>
          <w:rtl/>
        </w:rPr>
        <w:t xml:space="preserve"> כי היה "מחטף סמכויות" העומד בניגוד לעקרון כיבוד ערכאות הדדי * מקרה שבו ההכרעה בשאלת הסמכות ניתנה ללא נימוקים                            * ההכרעה לוק</w:t>
      </w:r>
      <w:r w:rsidR="00EE20FC">
        <w:rPr>
          <w:rFonts w:ascii="Arial" w:hAnsi="Arial"/>
          <w:noProof w:val="0"/>
          <w:rtl/>
        </w:rPr>
        <w:t>ה בחוסר חוקיות או פגם חמור היור</w:t>
      </w:r>
      <w:r w:rsidR="00EE20FC">
        <w:rPr>
          <w:rFonts w:ascii="Arial" w:hAnsi="Arial" w:hint="cs"/>
          <w:noProof w:val="0"/>
          <w:rtl/>
        </w:rPr>
        <w:t>ד</w:t>
      </w:r>
      <w:r>
        <w:rPr>
          <w:rFonts w:ascii="Arial" w:hAnsi="Arial"/>
          <w:noProof w:val="0"/>
          <w:rtl/>
        </w:rPr>
        <w:t xml:space="preserve"> לשורש הסמכות. </w:t>
      </w:r>
      <w:r>
        <w:rPr>
          <w:rFonts w:ascii="Arial" w:hAnsi="Arial"/>
          <w:b/>
          <w:bCs/>
          <w:noProof w:val="0"/>
          <w:rtl/>
        </w:rPr>
        <w:t>"רק במקרים חרי</w:t>
      </w:r>
      <w:r w:rsidR="00F1144E">
        <w:rPr>
          <w:rFonts w:ascii="Arial" w:hAnsi="Arial"/>
          <w:b/>
          <w:bCs/>
          <w:noProof w:val="0"/>
          <w:rtl/>
        </w:rPr>
        <w:t xml:space="preserve">גים ומצומצמים כגון אלה, מתקיים </w:t>
      </w:r>
      <w:r w:rsidR="00F1144E">
        <w:rPr>
          <w:rFonts w:ascii="Arial" w:hAnsi="Arial" w:hint="cs"/>
          <w:b/>
          <w:bCs/>
          <w:noProof w:val="0"/>
          <w:rtl/>
        </w:rPr>
        <w:t>'</w:t>
      </w:r>
      <w:r>
        <w:rPr>
          <w:rFonts w:ascii="Arial" w:hAnsi="Arial"/>
          <w:b/>
          <w:bCs/>
          <w:noProof w:val="0"/>
          <w:rtl/>
        </w:rPr>
        <w:t>טעם מיוחד</w:t>
      </w:r>
      <w:r w:rsidR="00F1144E">
        <w:rPr>
          <w:rFonts w:ascii="Arial" w:hAnsi="Arial" w:hint="cs"/>
          <w:b/>
          <w:bCs/>
          <w:noProof w:val="0"/>
          <w:rtl/>
        </w:rPr>
        <w:t>'</w:t>
      </w:r>
      <w:r>
        <w:rPr>
          <w:rFonts w:ascii="Arial" w:hAnsi="Arial"/>
          <w:b/>
          <w:bCs/>
          <w:noProof w:val="0"/>
          <w:rtl/>
        </w:rPr>
        <w:t xml:space="preserve"> המצדיק, כי הערכאה השנייה תיזקק לטענות הנוגעות לסמכותה לדון בתביעה שבפניה על אף קיומה של הכרעה סותרת בנוגע לסמכות"</w:t>
      </w:r>
      <w:r>
        <w:rPr>
          <w:rFonts w:ascii="Arial" w:hAnsi="Arial"/>
          <w:noProof w:val="0"/>
          <w:rtl/>
        </w:rPr>
        <w:t xml:space="preserve"> (בג"ץ פלמן עמ' 139). </w:t>
      </w:r>
    </w:p>
    <w:p w:rsidR="00F73645" w:rsidRDefault="00F73645" w:rsidP="00F73645">
      <w:pPr>
        <w:pStyle w:val="ac"/>
        <w:spacing w:line="360" w:lineRule="auto"/>
        <w:rPr>
          <w:rFonts w:ascii="Arial" w:hAnsi="Arial"/>
          <w:noProof w:val="0"/>
        </w:rPr>
      </w:pPr>
    </w:p>
    <w:p w:rsidR="00F73645" w:rsidRDefault="00F73645" w:rsidP="00F73645">
      <w:pPr>
        <w:pStyle w:val="ac"/>
        <w:numPr>
          <w:ilvl w:val="0"/>
          <w:numId w:val="2"/>
        </w:numPr>
        <w:spacing w:line="360" w:lineRule="auto"/>
        <w:jc w:val="both"/>
        <w:rPr>
          <w:rFonts w:ascii="Arial" w:hAnsi="Arial"/>
          <w:b/>
          <w:bCs/>
          <w:noProof w:val="0"/>
          <w:u w:val="single"/>
          <w:rtl/>
        </w:rPr>
      </w:pPr>
      <w:r>
        <w:rPr>
          <w:rFonts w:ascii="Arial" w:hAnsi="Arial"/>
          <w:b/>
          <w:bCs/>
          <w:noProof w:val="0"/>
          <w:u w:val="single"/>
          <w:rtl/>
        </w:rPr>
        <w:t xml:space="preserve">יישום אמות המידה שנקבעו בהלכת פלמן במקרה דנא </w:t>
      </w:r>
    </w:p>
    <w:p w:rsidR="00F73645" w:rsidRDefault="00F73645" w:rsidP="00F73645">
      <w:pPr>
        <w:pStyle w:val="ac"/>
        <w:spacing w:line="360" w:lineRule="auto"/>
        <w:rPr>
          <w:rFonts w:ascii="Arial" w:hAnsi="Arial"/>
          <w:noProof w:val="0"/>
        </w:rPr>
      </w:pPr>
    </w:p>
    <w:p w:rsidR="00F73645" w:rsidRDefault="00F73645" w:rsidP="00F73645">
      <w:pPr>
        <w:pStyle w:val="ac"/>
        <w:numPr>
          <w:ilvl w:val="1"/>
          <w:numId w:val="2"/>
        </w:numPr>
        <w:spacing w:line="360" w:lineRule="auto"/>
        <w:ind w:left="907" w:hanging="567"/>
        <w:jc w:val="both"/>
        <w:rPr>
          <w:rFonts w:ascii="Arial" w:hAnsi="Arial"/>
          <w:noProof w:val="0"/>
          <w:rtl/>
        </w:rPr>
      </w:pPr>
      <w:r>
        <w:rPr>
          <w:rFonts w:ascii="Arial" w:hAnsi="Arial"/>
          <w:noProof w:val="0"/>
          <w:rtl/>
        </w:rPr>
        <w:t xml:space="preserve">על פי הלכת פלמן, </w:t>
      </w:r>
      <w:r>
        <w:rPr>
          <w:rFonts w:ascii="Arial" w:hAnsi="Arial"/>
          <w:b/>
          <w:bCs/>
          <w:noProof w:val="0"/>
          <w:rtl/>
        </w:rPr>
        <w:t>הבדיקה תתבצע באופן דו-שלבי</w:t>
      </w:r>
      <w:r>
        <w:rPr>
          <w:rFonts w:ascii="Arial" w:hAnsi="Arial"/>
          <w:noProof w:val="0"/>
          <w:rtl/>
        </w:rPr>
        <w:t xml:space="preserve">; רק אם מצאה הערכאה השנייה, </w:t>
      </w:r>
      <w:r w:rsidR="00EE20FC">
        <w:rPr>
          <w:rFonts w:ascii="Arial" w:hAnsi="Arial" w:hint="cs"/>
          <w:noProof w:val="0"/>
          <w:rtl/>
        </w:rPr>
        <w:t>ו</w:t>
      </w:r>
      <w:r>
        <w:rPr>
          <w:rFonts w:ascii="Arial" w:hAnsi="Arial"/>
          <w:noProof w:val="0"/>
          <w:rtl/>
        </w:rPr>
        <w:t xml:space="preserve">במקרה דנא בית המשפט, כי התקיים "טעם מיוחד", הרי שאז תעבור לבדוק את שאלת סמכותו לדון בתביעה הרכושית. </w:t>
      </w:r>
    </w:p>
    <w:p w:rsidR="00F73645" w:rsidRDefault="00F73645" w:rsidP="00F73645">
      <w:pPr>
        <w:pStyle w:val="ac"/>
        <w:spacing w:line="360" w:lineRule="auto"/>
        <w:ind w:left="851"/>
        <w:jc w:val="both"/>
        <w:rPr>
          <w:rFonts w:ascii="Arial" w:hAnsi="Arial"/>
          <w:noProof w:val="0"/>
        </w:rPr>
      </w:pPr>
    </w:p>
    <w:p w:rsidR="00F73645" w:rsidRDefault="00F73645" w:rsidP="00F73645">
      <w:pPr>
        <w:pStyle w:val="ac"/>
        <w:numPr>
          <w:ilvl w:val="1"/>
          <w:numId w:val="2"/>
        </w:numPr>
        <w:spacing w:line="360" w:lineRule="auto"/>
        <w:ind w:left="907" w:hanging="567"/>
        <w:jc w:val="both"/>
        <w:rPr>
          <w:rFonts w:ascii="Arial" w:hAnsi="Arial"/>
          <w:noProof w:val="0"/>
        </w:rPr>
      </w:pPr>
      <w:r>
        <w:rPr>
          <w:rFonts w:ascii="Arial" w:hAnsi="Arial"/>
          <w:noProof w:val="0"/>
          <w:rtl/>
        </w:rPr>
        <w:t xml:space="preserve">אף אם בית המשפט קבע, כי התקיים "טעם מיוחד", אין משמעות הדבר, כי בכך תמה הבדיקה בשאלת הסמכות וכי הסמכות לדון בתביעה הרכושית נתונה לבית המשפט. עדיין יהיה על בית המשפט לבדוק את שאלת הסמכות לגופה, ובהחלט יתכן, כי לאחר הבדיקה יגיע בית המשפט למסקנה, כי הסמכות נתונה לבית הדין הרבני (ראה רמ"ש (י-ם)                       37070-12-11 </w:t>
      </w:r>
      <w:r>
        <w:rPr>
          <w:rFonts w:ascii="Arial" w:hAnsi="Arial"/>
          <w:b/>
          <w:bCs/>
          <w:noProof w:val="0"/>
          <w:rtl/>
        </w:rPr>
        <w:t>ג.נ. נ' ג.פ.</w:t>
      </w:r>
      <w:r>
        <w:rPr>
          <w:rFonts w:ascii="Arial" w:hAnsi="Arial"/>
          <w:noProof w:val="0"/>
          <w:rtl/>
        </w:rPr>
        <w:t xml:space="preserve"> [פורסם בנבו] 28.5.2012, סע' 31 לפסה"ד). </w:t>
      </w:r>
    </w:p>
    <w:p w:rsidR="00F73645" w:rsidRDefault="00F73645" w:rsidP="00F73645">
      <w:pPr>
        <w:pStyle w:val="ac"/>
        <w:spacing w:line="360" w:lineRule="auto"/>
        <w:ind w:left="851"/>
        <w:jc w:val="both"/>
        <w:rPr>
          <w:rFonts w:ascii="Arial" w:hAnsi="Arial"/>
          <w:noProof w:val="0"/>
        </w:rPr>
      </w:pPr>
    </w:p>
    <w:p w:rsidR="00F73645" w:rsidRDefault="00F73645" w:rsidP="00F73645">
      <w:pPr>
        <w:pStyle w:val="ac"/>
        <w:numPr>
          <w:ilvl w:val="1"/>
          <w:numId w:val="2"/>
        </w:numPr>
        <w:spacing w:line="360" w:lineRule="auto"/>
        <w:ind w:left="907" w:hanging="567"/>
        <w:jc w:val="both"/>
        <w:rPr>
          <w:rFonts w:ascii="Arial" w:hAnsi="Arial"/>
          <w:noProof w:val="0"/>
        </w:rPr>
      </w:pPr>
      <w:r>
        <w:rPr>
          <w:rFonts w:ascii="Arial" w:hAnsi="Arial"/>
          <w:noProof w:val="0"/>
          <w:rtl/>
        </w:rPr>
        <w:t xml:space="preserve">תביעת הגירושין הכרוכה הוגשה לבית הדין הרבני </w:t>
      </w:r>
      <w:r>
        <w:rPr>
          <w:rFonts w:ascii="Arial" w:hAnsi="Arial"/>
          <w:b/>
          <w:bCs/>
          <w:noProof w:val="0"/>
          <w:rtl/>
        </w:rPr>
        <w:t>ביום 22.2.2024;</w:t>
      </w:r>
      <w:r>
        <w:rPr>
          <w:rFonts w:ascii="Arial" w:hAnsi="Arial"/>
          <w:noProof w:val="0"/>
          <w:rtl/>
        </w:rPr>
        <w:t xml:space="preserve"> החלטת בית הדין הרבני ניתנה </w:t>
      </w:r>
      <w:r>
        <w:rPr>
          <w:rFonts w:ascii="Arial" w:hAnsi="Arial"/>
          <w:b/>
          <w:bCs/>
          <w:noProof w:val="0"/>
          <w:rtl/>
        </w:rPr>
        <w:t>ביום 21.7.2024,</w:t>
      </w:r>
      <w:r>
        <w:rPr>
          <w:rFonts w:ascii="Arial" w:hAnsi="Arial"/>
          <w:noProof w:val="0"/>
          <w:rtl/>
        </w:rPr>
        <w:t xml:space="preserve"> </w:t>
      </w:r>
      <w:r>
        <w:rPr>
          <w:rFonts w:ascii="Arial" w:hAnsi="Arial"/>
          <w:b/>
          <w:bCs/>
          <w:noProof w:val="0"/>
          <w:u w:val="single"/>
          <w:rtl/>
        </w:rPr>
        <w:t>היינו – בחלוף כ- 5 חודשים</w:t>
      </w:r>
      <w:r>
        <w:rPr>
          <w:rFonts w:ascii="Arial" w:hAnsi="Arial"/>
          <w:noProof w:val="0"/>
          <w:rtl/>
        </w:rPr>
        <w:t xml:space="preserve">. לא ניתן לומר בנסיבות אלה, כי בית הדין הרבני "הזדרז" ליתן החלטה בעניין סמכותו, ועל כן אין לדבר כלל על "מחטף סמכויות". </w:t>
      </w:r>
    </w:p>
    <w:p w:rsidR="00F73645" w:rsidRDefault="00F73645" w:rsidP="00F73645">
      <w:pPr>
        <w:pStyle w:val="ac"/>
        <w:rPr>
          <w:rFonts w:ascii="Arial" w:hAnsi="Arial"/>
          <w:noProof w:val="0"/>
        </w:rPr>
      </w:pPr>
    </w:p>
    <w:p w:rsidR="00F1144E" w:rsidRDefault="00F73645" w:rsidP="00A275A0">
      <w:pPr>
        <w:pStyle w:val="ac"/>
        <w:numPr>
          <w:ilvl w:val="1"/>
          <w:numId w:val="2"/>
        </w:numPr>
        <w:spacing w:line="360" w:lineRule="auto"/>
        <w:ind w:left="907" w:hanging="567"/>
        <w:jc w:val="both"/>
        <w:rPr>
          <w:rFonts w:ascii="Arial" w:hAnsi="Arial"/>
          <w:noProof w:val="0"/>
        </w:rPr>
      </w:pPr>
      <w:r>
        <w:rPr>
          <w:rFonts w:ascii="Arial" w:hAnsi="Arial"/>
          <w:noProof w:val="0"/>
          <w:rtl/>
        </w:rPr>
        <w:t xml:space="preserve">בעקבות התביעה הרכושית שהגישה המשיבה לבית המשפט, המבקש הגיש לבית הדין הרבני "בקשה לקביעת סמכות". </w:t>
      </w:r>
      <w:r>
        <w:rPr>
          <w:rFonts w:ascii="Arial" w:hAnsi="Arial"/>
          <w:b/>
          <w:bCs/>
          <w:noProof w:val="0"/>
          <w:rtl/>
        </w:rPr>
        <w:t xml:space="preserve">ברי, כי מטרתה של בקשה זו היא קבלת החלטה </w:t>
      </w:r>
      <w:r w:rsidR="00EE20FC">
        <w:rPr>
          <w:rFonts w:ascii="Arial" w:hAnsi="Arial" w:hint="cs"/>
          <w:b/>
          <w:bCs/>
          <w:noProof w:val="0"/>
          <w:rtl/>
        </w:rPr>
        <w:t>"</w:t>
      </w:r>
      <w:r>
        <w:rPr>
          <w:rFonts w:ascii="Arial" w:hAnsi="Arial"/>
          <w:b/>
          <w:bCs/>
          <w:noProof w:val="0"/>
          <w:rtl/>
        </w:rPr>
        <w:t>מוקדמת בזמן</w:t>
      </w:r>
      <w:r w:rsidR="00EE20FC">
        <w:rPr>
          <w:rFonts w:ascii="Arial" w:hAnsi="Arial" w:hint="cs"/>
          <w:b/>
          <w:bCs/>
          <w:noProof w:val="0"/>
          <w:rtl/>
        </w:rPr>
        <w:t>"</w:t>
      </w:r>
      <w:r>
        <w:rPr>
          <w:rFonts w:ascii="Arial" w:hAnsi="Arial"/>
          <w:b/>
          <w:bCs/>
          <w:noProof w:val="0"/>
          <w:rtl/>
        </w:rPr>
        <w:t xml:space="preserve"> מבית הדין הרבני, בטרם תינתן החלטה על ידי בית המשפט</w:t>
      </w:r>
      <w:r>
        <w:rPr>
          <w:rFonts w:ascii="Arial" w:hAnsi="Arial"/>
          <w:noProof w:val="0"/>
          <w:rtl/>
        </w:rPr>
        <w:t xml:space="preserve">. </w:t>
      </w:r>
    </w:p>
    <w:p w:rsidR="00F1144E" w:rsidRPr="00F1144E" w:rsidRDefault="00F1144E" w:rsidP="00F1144E">
      <w:pPr>
        <w:pStyle w:val="ac"/>
        <w:rPr>
          <w:rFonts w:ascii="Arial" w:hAnsi="Arial"/>
          <w:noProof w:val="0"/>
          <w:rtl/>
        </w:rPr>
      </w:pPr>
    </w:p>
    <w:p w:rsidR="00F73645" w:rsidRDefault="00EA2C05" w:rsidP="00EA2C05">
      <w:pPr>
        <w:pStyle w:val="ac"/>
        <w:spacing w:line="360" w:lineRule="auto"/>
        <w:ind w:left="907"/>
        <w:jc w:val="both"/>
        <w:rPr>
          <w:rFonts w:ascii="Arial" w:hAnsi="Arial"/>
          <w:noProof w:val="0"/>
          <w:rtl/>
        </w:rPr>
      </w:pPr>
      <w:r>
        <w:rPr>
          <w:rFonts w:ascii="Arial" w:hAnsi="Arial"/>
          <w:noProof w:val="0"/>
          <w:rtl/>
        </w:rPr>
        <w:t>נוהג זה</w:t>
      </w:r>
      <w:r w:rsidR="00F73645">
        <w:rPr>
          <w:rFonts w:ascii="Arial" w:hAnsi="Arial"/>
          <w:noProof w:val="0"/>
          <w:rtl/>
        </w:rPr>
        <w:t xml:space="preserve"> של הגשת בקשות ל</w:t>
      </w:r>
      <w:r w:rsidR="00A275A0">
        <w:rPr>
          <w:rFonts w:ascii="Arial" w:hAnsi="Arial" w:hint="cs"/>
          <w:noProof w:val="0"/>
          <w:rtl/>
        </w:rPr>
        <w:t>"</w:t>
      </w:r>
      <w:r w:rsidR="00F73645">
        <w:rPr>
          <w:rFonts w:ascii="Arial" w:hAnsi="Arial"/>
          <w:noProof w:val="0"/>
          <w:rtl/>
        </w:rPr>
        <w:t>קביעת סמכות</w:t>
      </w:r>
      <w:r w:rsidR="00A275A0">
        <w:rPr>
          <w:rFonts w:ascii="Arial" w:hAnsi="Arial" w:hint="cs"/>
          <w:noProof w:val="0"/>
          <w:rtl/>
        </w:rPr>
        <w:t>"</w:t>
      </w:r>
      <w:r w:rsidR="00F73645">
        <w:rPr>
          <w:rFonts w:ascii="Arial" w:hAnsi="Arial"/>
          <w:noProof w:val="0"/>
          <w:rtl/>
        </w:rPr>
        <w:t xml:space="preserve">, </w:t>
      </w:r>
      <w:r>
        <w:rPr>
          <w:rFonts w:ascii="Arial" w:hAnsi="Arial" w:hint="cs"/>
          <w:noProof w:val="0"/>
          <w:rtl/>
        </w:rPr>
        <w:t xml:space="preserve">אשר </w:t>
      </w:r>
      <w:r w:rsidR="00F73645">
        <w:rPr>
          <w:rFonts w:ascii="Arial" w:hAnsi="Arial"/>
          <w:noProof w:val="0"/>
          <w:rtl/>
        </w:rPr>
        <w:t>השתרש בפרקטיקה מאז ניתן פסק-הדין בעניין פלמן, איננו רצוי, הן משום שהוא י</w:t>
      </w:r>
      <w:r w:rsidR="00EE20FC">
        <w:rPr>
          <w:rFonts w:ascii="Arial" w:hAnsi="Arial" w:hint="cs"/>
          <w:noProof w:val="0"/>
          <w:rtl/>
        </w:rPr>
        <w:t>י</w:t>
      </w:r>
      <w:r w:rsidR="00F73645">
        <w:rPr>
          <w:rFonts w:ascii="Arial" w:hAnsi="Arial"/>
          <w:noProof w:val="0"/>
          <w:rtl/>
        </w:rPr>
        <w:t xml:space="preserve">צר "מרוץ חדש" – "מרוץ החלטות", והן משום שהוא עלול לפגום </w:t>
      </w:r>
      <w:r w:rsidR="00A275A0">
        <w:rPr>
          <w:rFonts w:ascii="Arial" w:hAnsi="Arial" w:hint="cs"/>
          <w:noProof w:val="0"/>
          <w:rtl/>
        </w:rPr>
        <w:t xml:space="preserve">בסופו של דבר </w:t>
      </w:r>
      <w:r w:rsidR="00F73645">
        <w:rPr>
          <w:rFonts w:ascii="Arial" w:hAnsi="Arial"/>
          <w:noProof w:val="0"/>
          <w:rtl/>
        </w:rPr>
        <w:t>בתום-הלב של מגיש הבקש</w:t>
      </w:r>
      <w:r w:rsidR="00A275A0">
        <w:rPr>
          <w:rFonts w:ascii="Arial" w:hAnsi="Arial"/>
          <w:noProof w:val="0"/>
          <w:rtl/>
        </w:rPr>
        <w:t>ה ובכנות תביעתו לבית הדין הרבני</w:t>
      </w:r>
      <w:r w:rsidR="00A275A0">
        <w:rPr>
          <w:rFonts w:ascii="Arial" w:hAnsi="Arial" w:hint="cs"/>
          <w:noProof w:val="0"/>
          <w:rtl/>
        </w:rPr>
        <w:t xml:space="preserve">, ומבחינה זו עלולה הבקשה לקביעת סמכות להוות "חרב פיפיות". </w:t>
      </w:r>
      <w:r w:rsidR="00F73645">
        <w:rPr>
          <w:rFonts w:ascii="Arial" w:hAnsi="Arial"/>
          <w:noProof w:val="0"/>
          <w:rtl/>
        </w:rPr>
        <w:t xml:space="preserve"> </w:t>
      </w:r>
    </w:p>
    <w:p w:rsidR="00F73645" w:rsidRDefault="00F73645" w:rsidP="00F73645">
      <w:pPr>
        <w:pStyle w:val="ac"/>
        <w:rPr>
          <w:rFonts w:ascii="Arial" w:hAnsi="Arial"/>
          <w:noProof w:val="0"/>
        </w:rPr>
      </w:pPr>
    </w:p>
    <w:p w:rsidR="00F73645" w:rsidRDefault="00F73645" w:rsidP="00F73645">
      <w:pPr>
        <w:pStyle w:val="ac"/>
        <w:numPr>
          <w:ilvl w:val="1"/>
          <w:numId w:val="2"/>
        </w:numPr>
        <w:spacing w:line="360" w:lineRule="auto"/>
        <w:ind w:left="907" w:hanging="567"/>
        <w:jc w:val="both"/>
        <w:rPr>
          <w:rFonts w:ascii="Arial" w:hAnsi="Arial"/>
          <w:noProof w:val="0"/>
          <w:rtl/>
        </w:rPr>
      </w:pPr>
      <w:r>
        <w:rPr>
          <w:rFonts w:ascii="Arial" w:hAnsi="Arial"/>
          <w:noProof w:val="0"/>
          <w:rtl/>
        </w:rPr>
        <w:t xml:space="preserve">יחד עם זאת, בנסיבות המקרה דנא, אינני סבור, כי הבקשה לקביעת סמכות שהגיש המבקש לבית הדין הרבני, מהווה "טעם מיוחד" המצדיק, כי בית המשפט יידרש לבחון את סמכותו לדון בתביעה הרכושית. כאמור לעיל, עצם הגשת הבקשה לקביעת סמכות לא הביאה את בית הדין הרבני להזדרז ולהוציא תחת ידו החלטה, בלא ששמע את הצדדים ובלא שנימק את החלטתו.  </w:t>
      </w:r>
    </w:p>
    <w:p w:rsidR="00F73645" w:rsidRDefault="00F73645" w:rsidP="00F73645">
      <w:pPr>
        <w:pStyle w:val="ac"/>
        <w:rPr>
          <w:rFonts w:ascii="Arial" w:hAnsi="Arial"/>
          <w:noProof w:val="0"/>
        </w:rPr>
      </w:pPr>
    </w:p>
    <w:p w:rsidR="00F73645" w:rsidRDefault="00F73645" w:rsidP="00F73645">
      <w:pPr>
        <w:pStyle w:val="ac"/>
        <w:numPr>
          <w:ilvl w:val="1"/>
          <w:numId w:val="2"/>
        </w:numPr>
        <w:spacing w:line="360" w:lineRule="auto"/>
        <w:ind w:left="907" w:hanging="567"/>
        <w:jc w:val="both"/>
        <w:rPr>
          <w:rFonts w:ascii="Arial" w:hAnsi="Arial"/>
          <w:noProof w:val="0"/>
          <w:rtl/>
        </w:rPr>
      </w:pPr>
      <w:r>
        <w:rPr>
          <w:rFonts w:ascii="Arial" w:hAnsi="Arial"/>
          <w:noProof w:val="0"/>
          <w:rtl/>
        </w:rPr>
        <w:t xml:space="preserve">דווקא הבקשה לקביעת סמכות שהגישה המשיבה, </w:t>
      </w:r>
      <w:r w:rsidRPr="000B1F0C">
        <w:rPr>
          <w:rFonts w:ascii="Arial" w:hAnsi="Arial"/>
          <w:b/>
          <w:bCs/>
          <w:noProof w:val="0"/>
          <w:rtl/>
        </w:rPr>
        <w:t>עולה כדי חוסר תום לב</w:t>
      </w:r>
      <w:r>
        <w:rPr>
          <w:rFonts w:ascii="Arial" w:hAnsi="Arial"/>
          <w:noProof w:val="0"/>
          <w:rtl/>
        </w:rPr>
        <w:t xml:space="preserve">, הן משום שזו הוגשה לאחר שכבר ניתנה החלטת בית הדין הרבני, </w:t>
      </w:r>
      <w:r w:rsidR="00EA2C05">
        <w:rPr>
          <w:rFonts w:ascii="Arial" w:hAnsi="Arial" w:hint="cs"/>
          <w:noProof w:val="0"/>
          <w:rtl/>
        </w:rPr>
        <w:t xml:space="preserve">הן משום שלא ניתן על ידי המשיבה כל הסבר לשיהוי בהגשת התביעה, </w:t>
      </w:r>
      <w:r>
        <w:rPr>
          <w:rFonts w:ascii="Arial" w:hAnsi="Arial"/>
          <w:noProof w:val="0"/>
          <w:rtl/>
        </w:rPr>
        <w:t xml:space="preserve">והן משום הימנעותה של המשיבה מתקיפה ישירה של החלטת בית הדין הרבני בערכאת הערעור (בית הדין הרבני הגדול), וניסיון פסול לפגוע בעקרון כיבוד ערכאות הדדי. </w:t>
      </w:r>
    </w:p>
    <w:p w:rsidR="00F73645" w:rsidRDefault="00F73645" w:rsidP="00F73645">
      <w:pPr>
        <w:spacing w:line="360" w:lineRule="auto"/>
        <w:rPr>
          <w:rFonts w:ascii="Arial" w:hAnsi="Arial"/>
          <w:noProof w:val="0"/>
        </w:rPr>
      </w:pPr>
    </w:p>
    <w:p w:rsidR="00F72537" w:rsidRDefault="00F73645" w:rsidP="00F72537">
      <w:pPr>
        <w:pStyle w:val="ac"/>
        <w:numPr>
          <w:ilvl w:val="1"/>
          <w:numId w:val="2"/>
        </w:numPr>
        <w:spacing w:line="360" w:lineRule="auto"/>
        <w:ind w:left="907" w:hanging="567"/>
        <w:jc w:val="both"/>
        <w:rPr>
          <w:rFonts w:ascii="Arial" w:hAnsi="Arial"/>
          <w:noProof w:val="0"/>
        </w:rPr>
      </w:pPr>
      <w:r>
        <w:rPr>
          <w:rFonts w:ascii="Arial" w:hAnsi="Arial"/>
          <w:b/>
          <w:bCs/>
          <w:noProof w:val="0"/>
          <w:rtl/>
        </w:rPr>
        <w:t>בית הדין הרבני קיים הליך מקדים בשאלת הסמכות</w:t>
      </w:r>
      <w:r>
        <w:rPr>
          <w:rFonts w:ascii="Arial" w:hAnsi="Arial"/>
          <w:noProof w:val="0"/>
          <w:rtl/>
        </w:rPr>
        <w:t>. במסגרת תגובה לבקשה לקביעת סמכות שהגישה המשיבה לבית הדין הרבני, טענה המשיבה ב</w:t>
      </w:r>
      <w:r w:rsidR="00EA2C05">
        <w:rPr>
          <w:rFonts w:ascii="Arial" w:hAnsi="Arial" w:hint="cs"/>
          <w:noProof w:val="0"/>
          <w:rtl/>
        </w:rPr>
        <w:t>אריכות</w:t>
      </w:r>
      <w:r>
        <w:rPr>
          <w:rFonts w:ascii="Arial" w:hAnsi="Arial"/>
          <w:noProof w:val="0"/>
          <w:rtl/>
        </w:rPr>
        <w:t xml:space="preserve">, כי כריכת הרכוש לתביעת הגירושין, איננה כריכה כדין ועל כן היא גם איננה כנה. </w:t>
      </w:r>
    </w:p>
    <w:p w:rsidR="00F72537" w:rsidRPr="00F72537" w:rsidRDefault="00F72537" w:rsidP="00F72537">
      <w:pPr>
        <w:pStyle w:val="ac"/>
        <w:rPr>
          <w:rFonts w:ascii="Arial" w:hAnsi="Arial"/>
          <w:noProof w:val="0"/>
          <w:rtl/>
        </w:rPr>
      </w:pPr>
    </w:p>
    <w:p w:rsidR="00F73645" w:rsidRPr="00F72537" w:rsidRDefault="00F73645" w:rsidP="0054696A">
      <w:pPr>
        <w:pStyle w:val="ac"/>
        <w:numPr>
          <w:ilvl w:val="1"/>
          <w:numId w:val="2"/>
        </w:numPr>
        <w:spacing w:line="360" w:lineRule="auto"/>
        <w:ind w:left="907" w:hanging="567"/>
        <w:jc w:val="both"/>
        <w:rPr>
          <w:rFonts w:ascii="Arial" w:hAnsi="Arial"/>
          <w:noProof w:val="0"/>
          <w:rtl/>
        </w:rPr>
      </w:pPr>
      <w:r w:rsidRPr="00F72537">
        <w:rPr>
          <w:rFonts w:ascii="Arial" w:hAnsi="Arial"/>
          <w:noProof w:val="0"/>
          <w:rtl/>
        </w:rPr>
        <w:t>בתגובה הנ"ל, מובאת רשימה של ארבעה נכסים</w:t>
      </w:r>
      <w:r w:rsidR="00E13434" w:rsidRPr="00F72537">
        <w:rPr>
          <w:rFonts w:ascii="Arial" w:hAnsi="Arial" w:hint="cs"/>
          <w:noProof w:val="0"/>
          <w:rtl/>
        </w:rPr>
        <w:t xml:space="preserve">, שלטענת המשיבה, </w:t>
      </w:r>
      <w:r w:rsidRPr="00F72537">
        <w:rPr>
          <w:rFonts w:ascii="Arial" w:hAnsi="Arial"/>
          <w:noProof w:val="0"/>
          <w:rtl/>
        </w:rPr>
        <w:t>המבקש העלים</w:t>
      </w:r>
      <w:r w:rsidR="00E13434" w:rsidRPr="00F72537">
        <w:rPr>
          <w:rFonts w:ascii="Arial" w:hAnsi="Arial" w:hint="cs"/>
          <w:noProof w:val="0"/>
          <w:rtl/>
        </w:rPr>
        <w:t xml:space="preserve"> </w:t>
      </w:r>
      <w:r w:rsidRPr="00F72537">
        <w:rPr>
          <w:rFonts w:ascii="Arial" w:hAnsi="Arial"/>
          <w:noProof w:val="0"/>
          <w:rtl/>
        </w:rPr>
        <w:t xml:space="preserve">מתביעת הגירושין: עסק על שם המבקש בשם </w:t>
      </w:r>
      <w:r w:rsidR="0054696A">
        <w:rPr>
          <w:rFonts w:ascii="Arial" w:hAnsi="Arial" w:hint="cs"/>
          <w:noProof w:val="0"/>
          <w:rtl/>
        </w:rPr>
        <w:t>---</w:t>
      </w:r>
      <w:r w:rsidRPr="00F72537">
        <w:rPr>
          <w:rFonts w:ascii="Arial" w:hAnsi="Arial"/>
          <w:noProof w:val="0"/>
          <w:rtl/>
        </w:rPr>
        <w:t xml:space="preserve"> חנות הרשומה על שם המבקש, שני חשבונות בנק ע"ש המבקש ואופנוע.   </w:t>
      </w:r>
    </w:p>
    <w:p w:rsidR="00EA2C05" w:rsidRDefault="00EA2C05" w:rsidP="00F73645">
      <w:pPr>
        <w:pStyle w:val="ac"/>
        <w:spacing w:line="360" w:lineRule="auto"/>
        <w:ind w:left="792"/>
        <w:jc w:val="both"/>
        <w:rPr>
          <w:rFonts w:ascii="Arial" w:hAnsi="Arial"/>
          <w:noProof w:val="0"/>
        </w:rPr>
      </w:pPr>
    </w:p>
    <w:p w:rsidR="00F73645" w:rsidRDefault="00F73645" w:rsidP="00F73645">
      <w:pPr>
        <w:pStyle w:val="ac"/>
        <w:numPr>
          <w:ilvl w:val="1"/>
          <w:numId w:val="2"/>
        </w:numPr>
        <w:spacing w:line="360" w:lineRule="auto"/>
        <w:ind w:left="907" w:hanging="567"/>
        <w:jc w:val="both"/>
        <w:rPr>
          <w:rFonts w:ascii="Arial" w:hAnsi="Arial"/>
          <w:noProof w:val="0"/>
        </w:rPr>
      </w:pPr>
      <w:r>
        <w:rPr>
          <w:rFonts w:ascii="Arial" w:hAnsi="Arial"/>
          <w:b/>
          <w:bCs/>
          <w:noProof w:val="0"/>
          <w:rtl/>
        </w:rPr>
        <w:t>ביום 21.7.2024, קיים בית הדין הרבני האזורי דיון בתביעת הגירושין הכרוכה שהגיש המבקש</w:t>
      </w:r>
      <w:r>
        <w:rPr>
          <w:rFonts w:ascii="Arial" w:hAnsi="Arial"/>
          <w:noProof w:val="0"/>
          <w:rtl/>
        </w:rPr>
        <w:t xml:space="preserve">. במהלך הדיון, בית הדין הרבני שמע את טיעוני המשיבה בסוגיית העדר כנות הכריכה. וכך באו עיקרי הדברים לידי ביטוי בפרוט' הדיון (פרוט' הדיון מיום 21.7.2024 צורף לבקשת המבקשת למחיקה על הסף): </w:t>
      </w:r>
    </w:p>
    <w:p w:rsidR="00C4515A" w:rsidRDefault="00C4515A" w:rsidP="00C4515A">
      <w:pPr>
        <w:pStyle w:val="ac"/>
        <w:spacing w:line="360" w:lineRule="auto"/>
        <w:ind w:left="907"/>
        <w:jc w:val="both"/>
        <w:rPr>
          <w:rFonts w:ascii="Arial" w:hAnsi="Arial"/>
          <w:noProof w:val="0"/>
        </w:rPr>
      </w:pPr>
    </w:p>
    <w:p w:rsidR="00F73645" w:rsidRDefault="00F73645" w:rsidP="00F73645">
      <w:pPr>
        <w:pStyle w:val="ac"/>
        <w:spacing w:line="360" w:lineRule="auto"/>
        <w:ind w:left="360"/>
        <w:jc w:val="both"/>
        <w:rPr>
          <w:rFonts w:ascii="Arial" w:hAnsi="Arial"/>
          <w:noProof w:val="0"/>
          <w:rtl/>
        </w:rPr>
      </w:pPr>
      <w:r>
        <w:rPr>
          <w:rFonts w:ascii="Arial" w:hAnsi="Arial"/>
        </w:rPr>
        <w:drawing>
          <wp:inline distT="0" distB="0" distL="0" distR="0">
            <wp:extent cx="5403850" cy="1155700"/>
            <wp:effectExtent l="19050" t="19050" r="25400" b="2540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3850" cy="1155700"/>
                    </a:xfrm>
                    <a:prstGeom prst="rect">
                      <a:avLst/>
                    </a:prstGeom>
                    <a:noFill/>
                    <a:ln w="9525" cmpd="sng">
                      <a:solidFill>
                        <a:srgbClr val="000000"/>
                      </a:solidFill>
                      <a:miter lim="800000"/>
                      <a:headEnd/>
                      <a:tailEnd/>
                    </a:ln>
                    <a:effectLst/>
                  </pic:spPr>
                </pic:pic>
              </a:graphicData>
            </a:graphic>
          </wp:inline>
        </w:drawing>
      </w:r>
    </w:p>
    <w:p w:rsidR="00F73645" w:rsidRDefault="00F73645" w:rsidP="00F73645">
      <w:pPr>
        <w:pStyle w:val="ac"/>
        <w:rPr>
          <w:rFonts w:ascii="Arial" w:hAnsi="Arial"/>
          <w:noProof w:val="0"/>
        </w:rPr>
      </w:pPr>
    </w:p>
    <w:p w:rsidR="00F73645" w:rsidRDefault="00F73645" w:rsidP="00EA2C05">
      <w:pPr>
        <w:pStyle w:val="ac"/>
        <w:numPr>
          <w:ilvl w:val="1"/>
          <w:numId w:val="2"/>
        </w:numPr>
        <w:spacing w:line="360" w:lineRule="auto"/>
        <w:ind w:left="907" w:hanging="567"/>
        <w:jc w:val="both"/>
        <w:rPr>
          <w:rFonts w:ascii="Arial" w:hAnsi="Arial"/>
          <w:noProof w:val="0"/>
        </w:rPr>
      </w:pPr>
      <w:r>
        <w:rPr>
          <w:rFonts w:ascii="Arial" w:hAnsi="Arial"/>
          <w:noProof w:val="0"/>
          <w:rtl/>
        </w:rPr>
        <w:t xml:space="preserve">בתום הדיון, בית הדין הרבני נתן החלטה לפיה הסמכות העניינית לדון בענייני רכוש הצדדים, נתונה לו.  כך קבע בית הדין הרבני בהחלטתו: </w:t>
      </w:r>
    </w:p>
    <w:p w:rsidR="00C4515A" w:rsidRPr="00EA2C05" w:rsidRDefault="00C4515A" w:rsidP="00C4515A">
      <w:pPr>
        <w:pStyle w:val="ac"/>
        <w:spacing w:line="360" w:lineRule="auto"/>
        <w:ind w:left="907"/>
        <w:jc w:val="both"/>
        <w:rPr>
          <w:rFonts w:ascii="Arial" w:hAnsi="Arial"/>
          <w:noProof w:val="0"/>
        </w:rPr>
      </w:pPr>
    </w:p>
    <w:p w:rsidR="00F73645" w:rsidRDefault="00F73645" w:rsidP="00F73645">
      <w:pPr>
        <w:pStyle w:val="ac"/>
        <w:spacing w:line="360" w:lineRule="auto"/>
        <w:ind w:left="360"/>
        <w:jc w:val="both"/>
        <w:rPr>
          <w:rFonts w:ascii="Arial" w:hAnsi="Arial"/>
          <w:noProof w:val="0"/>
        </w:rPr>
      </w:pPr>
      <w:r>
        <w:rPr>
          <w:rFonts w:ascii="Arial" w:hAnsi="Arial"/>
        </w:rPr>
        <w:drawing>
          <wp:inline distT="0" distB="0" distL="0" distR="0">
            <wp:extent cx="5403850" cy="2343150"/>
            <wp:effectExtent l="19050" t="19050" r="25400" b="1905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3850" cy="2343150"/>
                    </a:xfrm>
                    <a:prstGeom prst="rect">
                      <a:avLst/>
                    </a:prstGeom>
                    <a:noFill/>
                    <a:ln w="9525" cmpd="sng">
                      <a:solidFill>
                        <a:srgbClr val="000000"/>
                      </a:solidFill>
                      <a:miter lim="800000"/>
                      <a:headEnd/>
                      <a:tailEnd/>
                    </a:ln>
                    <a:effectLst/>
                  </pic:spPr>
                </pic:pic>
              </a:graphicData>
            </a:graphic>
          </wp:inline>
        </w:drawing>
      </w:r>
    </w:p>
    <w:p w:rsidR="00F73645" w:rsidRDefault="00F73645" w:rsidP="00F73645">
      <w:pPr>
        <w:pStyle w:val="ac"/>
        <w:spacing w:line="360" w:lineRule="auto"/>
        <w:ind w:left="360"/>
        <w:jc w:val="both"/>
        <w:rPr>
          <w:rFonts w:ascii="Arial" w:hAnsi="Arial"/>
          <w:noProof w:val="0"/>
        </w:rPr>
      </w:pPr>
    </w:p>
    <w:p w:rsidR="00F73645" w:rsidRDefault="00F73645" w:rsidP="00F73645">
      <w:pPr>
        <w:pStyle w:val="ac"/>
        <w:numPr>
          <w:ilvl w:val="1"/>
          <w:numId w:val="2"/>
        </w:numPr>
        <w:spacing w:line="360" w:lineRule="auto"/>
        <w:ind w:left="907" w:hanging="567"/>
        <w:jc w:val="both"/>
        <w:rPr>
          <w:rFonts w:ascii="Arial" w:hAnsi="Arial"/>
          <w:noProof w:val="0"/>
        </w:rPr>
      </w:pPr>
      <w:r>
        <w:rPr>
          <w:rFonts w:ascii="David" w:hAnsi="David"/>
          <w:color w:val="000000"/>
          <w:rtl/>
        </w:rPr>
        <w:t xml:space="preserve">צא וראה: בית הדין הרבני קיים דיון מקדים בטענות המשיבה לעניין העדר כריכה כדין וכריכה כנה; בפני בית הדין הרבני הונחה תגובה מפורטת של המשיבה ובה </w:t>
      </w:r>
      <w:r>
        <w:rPr>
          <w:rFonts w:ascii="Arial" w:hAnsi="Arial"/>
          <w:noProof w:val="0"/>
          <w:rtl/>
        </w:rPr>
        <w:t xml:space="preserve">טיעון מפורט בעניין העדר כנות הכריכה והעדר כריכה כדין. </w:t>
      </w:r>
    </w:p>
    <w:p w:rsidR="00C4515A" w:rsidRDefault="00F73645" w:rsidP="00C4515A">
      <w:pPr>
        <w:pStyle w:val="ac"/>
        <w:numPr>
          <w:ilvl w:val="1"/>
          <w:numId w:val="2"/>
        </w:numPr>
        <w:spacing w:line="360" w:lineRule="auto"/>
        <w:ind w:left="907" w:hanging="567"/>
        <w:jc w:val="both"/>
        <w:rPr>
          <w:rFonts w:ascii="David" w:hAnsi="David"/>
          <w:noProof w:val="0"/>
        </w:rPr>
      </w:pPr>
      <w:r>
        <w:rPr>
          <w:rFonts w:ascii="David" w:hAnsi="David"/>
          <w:noProof w:val="0"/>
          <w:rtl/>
        </w:rPr>
        <w:t xml:space="preserve">בית הדין הרבני נתן החלטה, אומנם קצרה, אך נימק את החלטתו. </w:t>
      </w:r>
      <w:r w:rsidR="00154312">
        <w:rPr>
          <w:rFonts w:ascii="David" w:hAnsi="David" w:hint="cs"/>
          <w:noProof w:val="0"/>
          <w:rtl/>
        </w:rPr>
        <w:t>בנוסף לכך, בית הדין הרבני הביע דעתו במהלך הדיון שהתקיים ביום 21.7.2024,</w:t>
      </w:r>
      <w:r w:rsidR="00C4515A">
        <w:rPr>
          <w:rFonts w:ascii="David" w:hAnsi="David" w:hint="cs"/>
          <w:noProof w:val="0"/>
          <w:rtl/>
        </w:rPr>
        <w:t xml:space="preserve"> כי </w:t>
      </w:r>
      <w:r w:rsidR="00C4515A" w:rsidRPr="000B1F0C">
        <w:rPr>
          <w:rFonts w:ascii="David" w:hAnsi="David" w:hint="cs"/>
          <w:b/>
          <w:bCs/>
          <w:noProof w:val="0"/>
          <w:u w:val="single"/>
          <w:rtl/>
        </w:rPr>
        <w:t>ימונה מומחה שיבחן את כלל הנכסים והזכויות</w:t>
      </w:r>
      <w:r w:rsidR="00C4515A">
        <w:rPr>
          <w:rFonts w:ascii="David" w:hAnsi="David" w:hint="cs"/>
          <w:noProof w:val="0"/>
          <w:rtl/>
        </w:rPr>
        <w:t xml:space="preserve">. להלן דברי בית הדין הרבני מתוך הפרוט':   </w:t>
      </w:r>
    </w:p>
    <w:p w:rsidR="000B1F0C" w:rsidRDefault="000B1F0C" w:rsidP="000B1F0C">
      <w:pPr>
        <w:pStyle w:val="ac"/>
        <w:spacing w:line="360" w:lineRule="auto"/>
        <w:ind w:left="907"/>
        <w:jc w:val="both"/>
        <w:rPr>
          <w:rFonts w:ascii="David" w:hAnsi="David"/>
          <w:noProof w:val="0"/>
        </w:rPr>
      </w:pPr>
    </w:p>
    <w:p w:rsidR="00C4515A" w:rsidRPr="00C4515A" w:rsidRDefault="00C4515A" w:rsidP="00C4515A">
      <w:pPr>
        <w:pStyle w:val="ac"/>
        <w:rPr>
          <w:rFonts w:ascii="David" w:hAnsi="David"/>
          <w:noProof w:val="0"/>
          <w:rtl/>
        </w:rPr>
      </w:pPr>
      <w:r w:rsidRPr="00C4515A">
        <w:rPr>
          <w:rFonts w:ascii="David" w:hAnsi="David"/>
          <w:rtl/>
        </w:rPr>
        <w:drawing>
          <wp:inline distT="0" distB="0" distL="0" distR="0" wp14:anchorId="656DF7CD" wp14:editId="787D0240">
            <wp:extent cx="5400675" cy="1005840"/>
            <wp:effectExtent l="19050" t="19050" r="28575" b="22860"/>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00675" cy="1005840"/>
                    </a:xfrm>
                    <a:prstGeom prst="rect">
                      <a:avLst/>
                    </a:prstGeom>
                    <a:ln>
                      <a:solidFill>
                        <a:schemeClr val="tx1"/>
                      </a:solidFill>
                    </a:ln>
                  </pic:spPr>
                </pic:pic>
              </a:graphicData>
            </a:graphic>
          </wp:inline>
        </w:drawing>
      </w:r>
    </w:p>
    <w:p w:rsidR="00C4515A" w:rsidRDefault="00C4515A" w:rsidP="00C4515A">
      <w:pPr>
        <w:pStyle w:val="ac"/>
        <w:spacing w:line="360" w:lineRule="auto"/>
        <w:ind w:left="907"/>
        <w:jc w:val="both"/>
        <w:rPr>
          <w:rFonts w:ascii="David" w:hAnsi="David"/>
          <w:noProof w:val="0"/>
          <w:rtl/>
        </w:rPr>
      </w:pPr>
    </w:p>
    <w:p w:rsidR="00154312" w:rsidRPr="00154312" w:rsidRDefault="00154312" w:rsidP="00154312">
      <w:pPr>
        <w:pStyle w:val="ac"/>
        <w:rPr>
          <w:rFonts w:ascii="David" w:hAnsi="David"/>
          <w:noProof w:val="0"/>
          <w:rtl/>
        </w:rPr>
      </w:pPr>
    </w:p>
    <w:p w:rsidR="00F73645" w:rsidRDefault="00F73645" w:rsidP="00154312">
      <w:pPr>
        <w:pStyle w:val="ac"/>
        <w:numPr>
          <w:ilvl w:val="1"/>
          <w:numId w:val="2"/>
        </w:numPr>
        <w:spacing w:line="360" w:lineRule="auto"/>
        <w:ind w:left="907" w:hanging="567"/>
        <w:jc w:val="both"/>
        <w:rPr>
          <w:rFonts w:ascii="David" w:hAnsi="David"/>
          <w:noProof w:val="0"/>
        </w:rPr>
      </w:pPr>
      <w:r>
        <w:rPr>
          <w:rFonts w:ascii="David" w:hAnsi="David"/>
          <w:noProof w:val="0"/>
          <w:rtl/>
        </w:rPr>
        <w:t xml:space="preserve">בית הדין הרבני בדק את מבחני הכריכה, והגיע למסקנה, כי תביעה הגירושין כנה, כי לא נטענה טענה בעניין כנות הכריכה, וכי הכריכה נעשתה כדין. </w:t>
      </w:r>
    </w:p>
    <w:p w:rsidR="00F73645" w:rsidRDefault="00F73645" w:rsidP="00F73645">
      <w:pPr>
        <w:pStyle w:val="ac"/>
        <w:spacing w:line="360" w:lineRule="auto"/>
        <w:rPr>
          <w:rFonts w:ascii="David" w:hAnsi="David"/>
          <w:noProof w:val="0"/>
          <w:color w:val="000000"/>
        </w:rPr>
      </w:pPr>
    </w:p>
    <w:p w:rsidR="00F73645" w:rsidRPr="00DB6B09" w:rsidRDefault="00F73645" w:rsidP="000B1F0C">
      <w:pPr>
        <w:pStyle w:val="ac"/>
        <w:numPr>
          <w:ilvl w:val="1"/>
          <w:numId w:val="2"/>
        </w:numPr>
        <w:spacing w:line="360" w:lineRule="auto"/>
        <w:ind w:left="907" w:hanging="567"/>
        <w:jc w:val="both"/>
        <w:rPr>
          <w:rFonts w:ascii="Arial" w:hAnsi="Arial"/>
          <w:noProof w:val="0"/>
          <w:rtl/>
        </w:rPr>
      </w:pPr>
      <w:r>
        <w:rPr>
          <w:rFonts w:ascii="David" w:hAnsi="David"/>
          <w:noProof w:val="0"/>
          <w:color w:val="000000"/>
          <w:rtl/>
        </w:rPr>
        <w:t>לאור נסי</w:t>
      </w:r>
      <w:r w:rsidR="00DB6B09">
        <w:rPr>
          <w:rFonts w:ascii="David" w:hAnsi="David"/>
          <w:noProof w:val="0"/>
          <w:color w:val="000000"/>
          <w:rtl/>
        </w:rPr>
        <w:t xml:space="preserve">בות המקרה דנן, הגעתי למסקנה, כי </w:t>
      </w:r>
      <w:r w:rsidR="00DB6B09">
        <w:rPr>
          <w:rFonts w:ascii="Arial" w:hAnsi="Arial"/>
          <w:noProof w:val="0"/>
          <w:rtl/>
        </w:rPr>
        <w:t>החלטת בית הדין הרבני אינה לוקה בחוסר חוקיות או פגם חמור היורש לשורש הסמכות</w:t>
      </w:r>
      <w:r w:rsidR="000B1F0C">
        <w:rPr>
          <w:rFonts w:ascii="David" w:hAnsi="David" w:hint="cs"/>
          <w:noProof w:val="0"/>
          <w:color w:val="000000"/>
          <w:rtl/>
        </w:rPr>
        <w:t>, ו</w:t>
      </w:r>
      <w:r w:rsidR="00E13434" w:rsidRPr="00DB6B09">
        <w:rPr>
          <w:rFonts w:ascii="David" w:hAnsi="David" w:hint="cs"/>
          <w:noProof w:val="0"/>
          <w:color w:val="000000"/>
          <w:rtl/>
        </w:rPr>
        <w:t xml:space="preserve">לא היתה פגיעה בכללי הצדק הטבעי, </w:t>
      </w:r>
      <w:r w:rsidRPr="00DB6B09">
        <w:rPr>
          <w:rFonts w:ascii="David" w:hAnsi="David"/>
          <w:noProof w:val="0"/>
          <w:color w:val="000000"/>
          <w:rtl/>
        </w:rPr>
        <w:t>אשר מצדיק</w:t>
      </w:r>
      <w:r w:rsidR="00C4515A">
        <w:rPr>
          <w:rFonts w:ascii="David" w:hAnsi="David" w:hint="cs"/>
          <w:noProof w:val="0"/>
          <w:color w:val="000000"/>
          <w:rtl/>
        </w:rPr>
        <w:t>ה</w:t>
      </w:r>
      <w:r w:rsidRPr="00DB6B09">
        <w:rPr>
          <w:rFonts w:ascii="David" w:hAnsi="David"/>
          <w:noProof w:val="0"/>
          <w:color w:val="000000"/>
          <w:rtl/>
        </w:rPr>
        <w:t xml:space="preserve"> את איון החלטת בית הדין הרבני בדבר סמכותו. אין מדובר בקבלת החלטה ללא שהצדדים טענו את מלוא טענותיהם בפני בי</w:t>
      </w:r>
      <w:r w:rsidR="00DB6B09">
        <w:rPr>
          <w:rFonts w:ascii="David" w:hAnsi="David" w:hint="cs"/>
          <w:noProof w:val="0"/>
          <w:color w:val="000000"/>
          <w:rtl/>
        </w:rPr>
        <w:t xml:space="preserve">ת הדין הרבני </w:t>
      </w:r>
      <w:r w:rsidRPr="00DB6B09">
        <w:rPr>
          <w:rFonts w:ascii="David" w:hAnsi="David"/>
          <w:noProof w:val="0"/>
          <w:color w:val="000000"/>
          <w:rtl/>
        </w:rPr>
        <w:t>או שההחלטה איננה מנומקת</w:t>
      </w:r>
      <w:r w:rsidR="00DB6B09">
        <w:rPr>
          <w:rFonts w:ascii="David" w:hAnsi="David" w:hint="cs"/>
          <w:noProof w:val="0"/>
          <w:color w:val="000000"/>
          <w:rtl/>
        </w:rPr>
        <w:t>.</w:t>
      </w:r>
      <w:r w:rsidRPr="00DB6B09">
        <w:rPr>
          <w:rFonts w:ascii="Arial" w:hAnsi="Arial"/>
          <w:noProof w:val="0"/>
          <w:rtl/>
        </w:rPr>
        <w:t xml:space="preserve"> </w:t>
      </w:r>
    </w:p>
    <w:p w:rsidR="00C4515A" w:rsidRPr="00C4515A" w:rsidRDefault="00C4515A" w:rsidP="00C4515A">
      <w:pPr>
        <w:pStyle w:val="ac"/>
        <w:spacing w:line="360" w:lineRule="auto"/>
        <w:ind w:left="907"/>
        <w:jc w:val="both"/>
        <w:rPr>
          <w:rFonts w:ascii="Arial" w:hAnsi="Arial"/>
          <w:noProof w:val="0"/>
        </w:rPr>
      </w:pPr>
    </w:p>
    <w:p w:rsidR="00F73645" w:rsidRDefault="00F73645" w:rsidP="00C4515A">
      <w:pPr>
        <w:pStyle w:val="ac"/>
        <w:numPr>
          <w:ilvl w:val="1"/>
          <w:numId w:val="2"/>
        </w:numPr>
        <w:spacing w:line="360" w:lineRule="auto"/>
        <w:ind w:left="907" w:hanging="567"/>
        <w:jc w:val="both"/>
        <w:rPr>
          <w:rFonts w:ascii="Arial" w:hAnsi="Arial"/>
          <w:noProof w:val="0"/>
        </w:rPr>
      </w:pPr>
      <w:r>
        <w:rPr>
          <w:rFonts w:ascii="Arial" w:hAnsi="Arial"/>
          <w:b/>
          <w:bCs/>
          <w:noProof w:val="0"/>
          <w:rtl/>
        </w:rPr>
        <w:t>אפילו תאמר, כי החלטת בית הדין הרבני שגויה</w:t>
      </w:r>
      <w:r>
        <w:rPr>
          <w:rFonts w:ascii="Arial" w:hAnsi="Arial"/>
          <w:noProof w:val="0"/>
          <w:rtl/>
        </w:rPr>
        <w:t xml:space="preserve">, </w:t>
      </w:r>
      <w:r w:rsidR="00C4515A">
        <w:rPr>
          <w:rFonts w:ascii="Arial" w:hAnsi="Arial" w:hint="cs"/>
          <w:noProof w:val="0"/>
          <w:rtl/>
        </w:rPr>
        <w:t xml:space="preserve">כך </w:t>
      </w:r>
      <w:r>
        <w:rPr>
          <w:rFonts w:ascii="Arial" w:hAnsi="Arial"/>
          <w:noProof w:val="0"/>
          <w:rtl/>
        </w:rPr>
        <w:t xml:space="preserve">לדוגמה: </w:t>
      </w:r>
      <w:r w:rsidR="00DB6B09">
        <w:rPr>
          <w:rFonts w:ascii="Arial" w:hAnsi="Arial" w:hint="cs"/>
          <w:noProof w:val="0"/>
          <w:rtl/>
        </w:rPr>
        <w:t xml:space="preserve">אם תטען המשיבה, כי טעה בית הדין הרבני בקביעתו, לפיה </w:t>
      </w:r>
      <w:r>
        <w:rPr>
          <w:rFonts w:ascii="Arial" w:hAnsi="Arial"/>
          <w:noProof w:val="0"/>
          <w:rtl/>
        </w:rPr>
        <w:t xml:space="preserve">המשיבה לא טענה להעדר כנות הכריכה, בעוד שלטענתה </w:t>
      </w:r>
      <w:r w:rsidR="00C4515A">
        <w:rPr>
          <w:rFonts w:ascii="Arial" w:hAnsi="Arial" w:hint="cs"/>
          <w:noProof w:val="0"/>
          <w:rtl/>
        </w:rPr>
        <w:t xml:space="preserve">ההיפך הוא הנכון, </w:t>
      </w:r>
      <w:r>
        <w:rPr>
          <w:rFonts w:ascii="Arial" w:hAnsi="Arial"/>
          <w:b/>
          <w:bCs/>
          <w:noProof w:val="0"/>
          <w:rtl/>
        </w:rPr>
        <w:t>הרי שאין ב</w:t>
      </w:r>
      <w:r w:rsidR="00DB6B09">
        <w:rPr>
          <w:rFonts w:ascii="Arial" w:hAnsi="Arial" w:hint="cs"/>
          <w:b/>
          <w:bCs/>
          <w:noProof w:val="0"/>
          <w:rtl/>
        </w:rPr>
        <w:t xml:space="preserve">כך </w:t>
      </w:r>
      <w:r>
        <w:rPr>
          <w:rFonts w:ascii="Arial" w:hAnsi="Arial"/>
          <w:b/>
          <w:bCs/>
          <w:noProof w:val="0"/>
          <w:rtl/>
        </w:rPr>
        <w:t>כדי להוות "טעם מיוחד" להיזקק בשנית לשאלת הסמכות</w:t>
      </w:r>
      <w:r>
        <w:rPr>
          <w:rFonts w:ascii="Arial" w:hAnsi="Arial"/>
          <w:noProof w:val="0"/>
          <w:rtl/>
        </w:rPr>
        <w:t xml:space="preserve">. </w:t>
      </w:r>
    </w:p>
    <w:p w:rsidR="00F73645" w:rsidRPr="00C4515A" w:rsidRDefault="00F73645" w:rsidP="00C4515A">
      <w:pPr>
        <w:spacing w:line="360" w:lineRule="auto"/>
        <w:ind w:left="907"/>
        <w:jc w:val="both"/>
        <w:rPr>
          <w:rFonts w:ascii="Arial" w:hAnsi="Arial"/>
          <w:b/>
          <w:bCs/>
          <w:noProof w:val="0"/>
        </w:rPr>
      </w:pPr>
      <w:r w:rsidRPr="00C4515A">
        <w:rPr>
          <w:rFonts w:ascii="Arial" w:hAnsi="Arial"/>
          <w:b/>
          <w:bCs/>
          <w:noProof w:val="0"/>
          <w:rtl/>
        </w:rPr>
        <w:t>בית המשפט אינו מוסמך לבדוק את טיבה ואת תוכנה של החלטת בית הדין הרבני</w:t>
      </w:r>
      <w:r w:rsidRPr="00C4515A">
        <w:rPr>
          <w:rFonts w:ascii="Arial" w:hAnsi="Arial"/>
          <w:noProof w:val="0"/>
          <w:rtl/>
        </w:rPr>
        <w:t xml:space="preserve">; </w:t>
      </w:r>
      <w:r w:rsidR="00370D4F" w:rsidRPr="00C4515A">
        <w:rPr>
          <w:rFonts w:ascii="Arial" w:hAnsi="Arial" w:hint="cs"/>
          <w:noProof w:val="0"/>
          <w:rtl/>
        </w:rPr>
        <w:t xml:space="preserve">                      </w:t>
      </w:r>
      <w:r w:rsidR="00DB6B09" w:rsidRPr="00C4515A">
        <w:rPr>
          <w:rFonts w:ascii="Arial" w:hAnsi="Arial" w:hint="cs"/>
          <w:b/>
          <w:bCs/>
          <w:noProof w:val="0"/>
          <w:u w:val="single"/>
          <w:rtl/>
        </w:rPr>
        <w:t xml:space="preserve">זהו </w:t>
      </w:r>
      <w:r w:rsidR="00370D4F" w:rsidRPr="00C4515A">
        <w:rPr>
          <w:rFonts w:ascii="Arial" w:hAnsi="Arial" w:hint="cs"/>
          <w:b/>
          <w:bCs/>
          <w:noProof w:val="0"/>
          <w:u w:val="single"/>
          <w:rtl/>
        </w:rPr>
        <w:t>הבסיס לעקרון כיבוד ערכאות הדדי</w:t>
      </w:r>
      <w:r w:rsidR="00370D4F" w:rsidRPr="00C4515A">
        <w:rPr>
          <w:rFonts w:ascii="Arial" w:hAnsi="Arial" w:hint="cs"/>
          <w:noProof w:val="0"/>
          <w:rtl/>
        </w:rPr>
        <w:t>.</w:t>
      </w:r>
      <w:r w:rsidR="00DB6B09" w:rsidRPr="00C4515A">
        <w:rPr>
          <w:rFonts w:ascii="Arial" w:hAnsi="Arial" w:hint="cs"/>
          <w:noProof w:val="0"/>
          <w:rtl/>
        </w:rPr>
        <w:t xml:space="preserve"> </w:t>
      </w:r>
      <w:r w:rsidRPr="00C4515A">
        <w:rPr>
          <w:rFonts w:ascii="Arial" w:hAnsi="Arial"/>
          <w:noProof w:val="0"/>
          <w:rtl/>
        </w:rPr>
        <w:t>על בית המשפט לבדוק האם בית הדין הרבני בחן את אמות המידה שנקבעו בהלכת פלמן. ככל ובית הדין הרבני שמע ובחן את טענות הצדדים בעניין מבחני הכריכה</w:t>
      </w:r>
      <w:r w:rsidR="00C4515A">
        <w:rPr>
          <w:rFonts w:ascii="Arial" w:hAnsi="Arial" w:hint="cs"/>
          <w:noProof w:val="0"/>
          <w:rtl/>
        </w:rPr>
        <w:t xml:space="preserve"> וניתנה החלטה מנומקת</w:t>
      </w:r>
      <w:r w:rsidRPr="00C4515A">
        <w:rPr>
          <w:rFonts w:ascii="Arial" w:hAnsi="Arial"/>
          <w:noProof w:val="0"/>
          <w:rtl/>
        </w:rPr>
        <w:t xml:space="preserve">, </w:t>
      </w:r>
      <w:r w:rsidRPr="00C4515A">
        <w:rPr>
          <w:rFonts w:ascii="Arial" w:hAnsi="Arial"/>
          <w:b/>
          <w:bCs/>
          <w:noProof w:val="0"/>
          <w:rtl/>
        </w:rPr>
        <w:t>הרי שלא התקיים "טעם מיוחד" ואל לו לבית המשפט לעבור לבחון מחדש את שאלת סמכותו לדון בתביעה הרכושית שהוגשה לו</w:t>
      </w:r>
      <w:r w:rsidR="00C4515A" w:rsidRPr="00C4515A">
        <w:rPr>
          <w:rFonts w:ascii="Arial" w:hAnsi="Arial" w:hint="cs"/>
          <w:b/>
          <w:bCs/>
          <w:noProof w:val="0"/>
          <w:rtl/>
        </w:rPr>
        <w:t xml:space="preserve">. </w:t>
      </w:r>
    </w:p>
    <w:p w:rsidR="00F73645" w:rsidRDefault="00F73645" w:rsidP="00F73645">
      <w:pPr>
        <w:pStyle w:val="ac"/>
        <w:spacing w:line="360" w:lineRule="auto"/>
        <w:ind w:left="851"/>
        <w:jc w:val="both"/>
        <w:rPr>
          <w:rFonts w:ascii="Arial" w:hAnsi="Arial"/>
          <w:noProof w:val="0"/>
          <w:rtl/>
        </w:rPr>
      </w:pPr>
    </w:p>
    <w:p w:rsidR="00F73645" w:rsidRDefault="00F73645" w:rsidP="00F73645">
      <w:pPr>
        <w:pStyle w:val="ac"/>
        <w:numPr>
          <w:ilvl w:val="1"/>
          <w:numId w:val="2"/>
        </w:numPr>
        <w:spacing w:line="360" w:lineRule="auto"/>
        <w:ind w:left="907" w:hanging="567"/>
        <w:jc w:val="both"/>
        <w:rPr>
          <w:rFonts w:ascii="Arial" w:hAnsi="Arial"/>
          <w:noProof w:val="0"/>
        </w:rPr>
      </w:pPr>
      <w:r>
        <w:rPr>
          <w:rFonts w:ascii="Arial" w:hAnsi="Arial"/>
          <w:b/>
          <w:bCs/>
          <w:noProof w:val="0"/>
          <w:rtl/>
        </w:rPr>
        <w:t>בית המשפט אינו יושב כערכאת ערעור על החלטות בית הדין הרבני</w:t>
      </w:r>
      <w:r>
        <w:rPr>
          <w:rFonts w:ascii="Arial" w:hAnsi="Arial"/>
          <w:noProof w:val="0"/>
          <w:rtl/>
        </w:rPr>
        <w:t xml:space="preserve">.  ודוק: המשיבה </w:t>
      </w:r>
      <w:r w:rsidRPr="00DB6B09">
        <w:rPr>
          <w:rFonts w:ascii="Arial" w:hAnsi="Arial"/>
          <w:b/>
          <w:bCs/>
          <w:noProof w:val="0"/>
          <w:u w:val="single"/>
          <w:rtl/>
        </w:rPr>
        <w:t>לא</w:t>
      </w:r>
      <w:r>
        <w:rPr>
          <w:rFonts w:ascii="Arial" w:hAnsi="Arial"/>
          <w:noProof w:val="0"/>
          <w:rtl/>
        </w:rPr>
        <w:t xml:space="preserve"> הגישה בקשת רשות ערעור על החלטת בית הדין הרבני לבית הדין הרבני הגדול. בעניין זה קבעה כב' השופט ד' בייניש בזו הלשון: </w:t>
      </w:r>
      <w:r>
        <w:rPr>
          <w:rFonts w:ascii="Arial" w:hAnsi="Arial"/>
          <w:b/>
          <w:bCs/>
          <w:noProof w:val="0"/>
          <w:rtl/>
        </w:rPr>
        <w:t>"לפיכך אין די בכך שהערכאה השנייה סבורה כי נימוקיה של הערכאה הראשונה לעניין הסמכות אינם משכנעים על מנת שתיזקק אף היא לשאלת הסמכות באותו ענין. שאם לא נאמר כן, יאבד מכוחו עקרון הכיבוד ההדדי בין הערכאות..."</w:t>
      </w:r>
      <w:r>
        <w:rPr>
          <w:rFonts w:ascii="Arial" w:hAnsi="Arial"/>
          <w:noProof w:val="0"/>
          <w:rtl/>
        </w:rPr>
        <w:t xml:space="preserve"> (עניין  פלמן, שם בעמ' 139).         </w:t>
      </w:r>
    </w:p>
    <w:p w:rsidR="00F73645" w:rsidRDefault="00F73645" w:rsidP="00F73645">
      <w:pPr>
        <w:pStyle w:val="ac"/>
        <w:spacing w:line="360" w:lineRule="auto"/>
        <w:rPr>
          <w:rFonts w:ascii="Arial" w:hAnsi="Arial"/>
          <w:noProof w:val="0"/>
        </w:rPr>
      </w:pPr>
    </w:p>
    <w:p w:rsidR="00F73645" w:rsidRDefault="00F73645" w:rsidP="00370D4F">
      <w:pPr>
        <w:pStyle w:val="ac"/>
        <w:numPr>
          <w:ilvl w:val="1"/>
          <w:numId w:val="2"/>
        </w:numPr>
        <w:spacing w:line="360" w:lineRule="auto"/>
        <w:ind w:left="907" w:hanging="567"/>
        <w:jc w:val="both"/>
        <w:rPr>
          <w:rFonts w:ascii="David" w:hAnsi="David"/>
          <w:noProof w:val="0"/>
          <w:rtl/>
        </w:rPr>
      </w:pPr>
      <w:r>
        <w:rPr>
          <w:rFonts w:ascii="David" w:hAnsi="David"/>
          <w:color w:val="000000"/>
          <w:rtl/>
        </w:rPr>
        <w:t xml:space="preserve">ככל והמשיבה סבורה, כי בית הדין הרבני האזורי טעה בהחלטתו, שומה </w:t>
      </w:r>
      <w:r w:rsidR="00DB6B09">
        <w:rPr>
          <w:rFonts w:ascii="David" w:hAnsi="David" w:hint="cs"/>
          <w:color w:val="000000"/>
          <w:rtl/>
        </w:rPr>
        <w:t xml:space="preserve">היה </w:t>
      </w:r>
      <w:r>
        <w:rPr>
          <w:rFonts w:ascii="David" w:hAnsi="David"/>
          <w:color w:val="000000"/>
          <w:rtl/>
        </w:rPr>
        <w:t>עליה לפעול בדרך של ביקורת ישירה, בפנייה לערכאת הערעור של אותה ערכאה</w:t>
      </w:r>
      <w:r w:rsidR="00370D4F">
        <w:rPr>
          <w:rFonts w:ascii="David" w:hAnsi="David" w:hint="cs"/>
          <w:color w:val="000000"/>
          <w:rtl/>
        </w:rPr>
        <w:t>, היינו</w:t>
      </w:r>
      <w:r>
        <w:rPr>
          <w:rFonts w:ascii="David" w:hAnsi="David"/>
          <w:color w:val="000000"/>
          <w:rtl/>
        </w:rPr>
        <w:t xml:space="preserve"> – בית הדין הרבני הגדול. </w:t>
      </w:r>
    </w:p>
    <w:p w:rsidR="00F73645" w:rsidRDefault="00F73645" w:rsidP="00F73645">
      <w:pPr>
        <w:pStyle w:val="ac"/>
        <w:rPr>
          <w:rFonts w:ascii="FrankRuehl" w:hAnsi="FrankRuehl" w:cs="FrankRuehl"/>
          <w:color w:val="000000"/>
          <w:sz w:val="28"/>
          <w:szCs w:val="28"/>
        </w:rPr>
      </w:pPr>
    </w:p>
    <w:p w:rsidR="00F73645" w:rsidRDefault="00F73645" w:rsidP="00F72537">
      <w:pPr>
        <w:pStyle w:val="ac"/>
        <w:numPr>
          <w:ilvl w:val="0"/>
          <w:numId w:val="2"/>
        </w:numPr>
        <w:spacing w:line="360" w:lineRule="auto"/>
        <w:jc w:val="both"/>
        <w:rPr>
          <w:rFonts w:ascii="Arial" w:hAnsi="Arial"/>
          <w:noProof w:val="0"/>
          <w:rtl/>
        </w:rPr>
      </w:pPr>
      <w:r>
        <w:rPr>
          <w:rFonts w:ascii="Arial" w:hAnsi="Arial"/>
          <w:noProof w:val="0"/>
          <w:rtl/>
        </w:rPr>
        <w:t xml:space="preserve">לאור כל האמור לעיל, דין הבקשה לסילוק התביעה </w:t>
      </w:r>
      <w:r w:rsidR="00F72537">
        <w:rPr>
          <w:rFonts w:ascii="Arial" w:hAnsi="Arial" w:hint="cs"/>
          <w:noProof w:val="0"/>
          <w:rtl/>
        </w:rPr>
        <w:t xml:space="preserve">על הסף </w:t>
      </w:r>
      <w:r>
        <w:rPr>
          <w:rFonts w:ascii="Arial" w:hAnsi="Arial"/>
          <w:noProof w:val="0"/>
          <w:rtl/>
        </w:rPr>
        <w:t xml:space="preserve">– להתקבל. </w:t>
      </w:r>
    </w:p>
    <w:p w:rsidR="00F73645" w:rsidRDefault="00F73645" w:rsidP="00F73645">
      <w:pPr>
        <w:pStyle w:val="ac"/>
        <w:spacing w:line="360" w:lineRule="auto"/>
        <w:ind w:left="360"/>
        <w:jc w:val="both"/>
        <w:rPr>
          <w:rFonts w:ascii="Arial" w:hAnsi="Arial"/>
          <w:noProof w:val="0"/>
        </w:rPr>
      </w:pPr>
    </w:p>
    <w:p w:rsidR="00F73645" w:rsidRDefault="00F73645" w:rsidP="00F73645">
      <w:pPr>
        <w:pStyle w:val="ac"/>
        <w:numPr>
          <w:ilvl w:val="0"/>
          <w:numId w:val="2"/>
        </w:numPr>
        <w:spacing w:line="360" w:lineRule="auto"/>
        <w:jc w:val="both"/>
        <w:rPr>
          <w:rFonts w:ascii="Arial" w:hAnsi="Arial"/>
          <w:noProof w:val="0"/>
        </w:rPr>
      </w:pPr>
      <w:r>
        <w:rPr>
          <w:rFonts w:ascii="Arial" w:hAnsi="Arial"/>
          <w:noProof w:val="0"/>
          <w:rtl/>
        </w:rPr>
        <w:t xml:space="preserve">לאור התוצאה אליה הגעתי, המשיבה תישא בהוצאות המבקש בסך של 5,000 ₪. </w:t>
      </w:r>
    </w:p>
    <w:p w:rsidR="00F73645" w:rsidRDefault="00F73645" w:rsidP="00F73645">
      <w:pPr>
        <w:pStyle w:val="ac"/>
        <w:spacing w:line="360" w:lineRule="auto"/>
        <w:rPr>
          <w:rFonts w:ascii="Arial" w:hAnsi="Arial"/>
          <w:noProof w:val="0"/>
        </w:rPr>
      </w:pPr>
    </w:p>
    <w:p w:rsidR="00F73645" w:rsidRDefault="00F73645" w:rsidP="00F73645">
      <w:pPr>
        <w:pStyle w:val="ac"/>
        <w:numPr>
          <w:ilvl w:val="0"/>
          <w:numId w:val="2"/>
        </w:numPr>
        <w:spacing w:line="360" w:lineRule="auto"/>
        <w:jc w:val="both"/>
        <w:rPr>
          <w:rFonts w:ascii="Arial" w:hAnsi="Arial"/>
          <w:noProof w:val="0"/>
          <w:rtl/>
        </w:rPr>
      </w:pPr>
      <w:r>
        <w:rPr>
          <w:rFonts w:ascii="Arial" w:hAnsi="Arial"/>
          <w:noProof w:val="0"/>
          <w:rtl/>
        </w:rPr>
        <w:t xml:space="preserve">המזכירות תסגור את התיק. </w:t>
      </w:r>
    </w:p>
    <w:p w:rsidR="00F73645" w:rsidRDefault="00F73645" w:rsidP="00F73645">
      <w:pPr>
        <w:spacing w:line="360" w:lineRule="auto"/>
        <w:jc w:val="both"/>
        <w:rPr>
          <w:rFonts w:ascii="Arial" w:hAnsi="Arial"/>
          <w:noProof w:val="0"/>
          <w:rtl/>
        </w:rPr>
      </w:pPr>
    </w:p>
    <w:p w:rsidR="00F73645" w:rsidRDefault="00F73645" w:rsidP="00F73645">
      <w:pPr>
        <w:spacing w:line="360" w:lineRule="auto"/>
        <w:jc w:val="both"/>
        <w:rPr>
          <w:rFonts w:ascii="Arial" w:hAnsi="Arial"/>
          <w:noProof w:val="0"/>
          <w:rtl/>
        </w:rPr>
      </w:pPr>
      <w:r>
        <w:rPr>
          <w:rFonts w:ascii="Arial" w:hAnsi="Arial"/>
          <w:noProof w:val="0"/>
          <w:rtl/>
        </w:rPr>
        <w:t xml:space="preserve">פסק-הדין מותר לפרסום בהשמטת פרטים מזהים. </w:t>
      </w:r>
    </w:p>
    <w:p w:rsidR="00370D4F" w:rsidRDefault="00370D4F" w:rsidP="00370D4F">
      <w:pPr>
        <w:spacing w:line="360" w:lineRule="auto"/>
        <w:jc w:val="both"/>
        <w:rPr>
          <w:rFonts w:ascii="Arial" w:hAnsi="Arial"/>
          <w:noProof w:val="0"/>
        </w:rPr>
      </w:pPr>
    </w:p>
    <w:p w:rsidR="00370D4F" w:rsidRDefault="00370D4F" w:rsidP="00370D4F">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ה' אלול תשפ"ד</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08 ספטמבר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682CBD">
      <w:pPr>
        <w:spacing w:line="360" w:lineRule="auto"/>
        <w:ind w:left="3600" w:firstLine="720"/>
        <w:jc w:val="both"/>
      </w:pPr>
      <w:sdt>
        <w:sdtPr>
          <w:rPr>
            <w:rtl/>
          </w:rPr>
          <w:alias w:val="MergeField"/>
          <w:tag w:val="1237"/>
          <w:id w:val="-851184933"/>
        </w:sdtPr>
        <w:sdtEndPr/>
        <w:sdtContent>
          <w:r w:rsidR="0054696A">
            <w:drawing>
              <wp:inline distT="0" distB="0" distL="0" distR="0" wp14:editId="50D07946">
                <wp:extent cx="1990724" cy="1104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1990724" cy="110490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4"/>
      <w:footerReference w:type="default" r:id="rId15"/>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2CBD" w:rsidRDefault="00682CBD">
      <w:r>
        <w:separator/>
      </w:r>
    </w:p>
  </w:endnote>
  <w:endnote w:type="continuationSeparator" w:id="0">
    <w:p w:rsidR="00682CBD" w:rsidRDefault="00682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2A5BCB">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2A5BCB">
      <w:rPr>
        <w:rStyle w:val="ab"/>
        <w:rtl/>
      </w:rPr>
      <w:t>8</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2CBD" w:rsidRDefault="00682CBD">
      <w:r>
        <w:separator/>
      </w:r>
    </w:p>
  </w:footnote>
  <w:footnote w:type="continuationSeparator" w:id="0">
    <w:p w:rsidR="00682CBD" w:rsidRDefault="00682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682CBD" w:rsidP="0054696A">
          <w:pPr>
            <w:rPr>
              <w:b/>
              <w:bCs/>
              <w:noProof w:val="0"/>
              <w:sz w:val="26"/>
              <w:szCs w:val="26"/>
              <w:rtl/>
            </w:rPr>
          </w:pPr>
          <w:sdt>
            <w:sdtPr>
              <w:rPr>
                <w:rtl/>
              </w:rPr>
              <w:alias w:val="1170"/>
              <w:tag w:val="1170"/>
              <w:id w:val="922609164"/>
              <w:text w:multiLine="1"/>
            </w:sdtPr>
            <w:sdtEndPr/>
            <w:sdtContent>
              <w:r w:rsidR="00094813">
                <w:rPr>
                  <w:b/>
                  <w:bCs/>
                  <w:noProof w:val="0"/>
                  <w:sz w:val="26"/>
                  <w:szCs w:val="26"/>
                  <w:rtl/>
                </w:rPr>
                <w:t>תלה"מ</w:t>
              </w:r>
            </w:sdtContent>
          </w:sdt>
          <w:r w:rsidR="00011212">
            <w:rPr>
              <w:b/>
              <w:bCs/>
              <w:noProof w:val="0"/>
              <w:sz w:val="26"/>
              <w:szCs w:val="26"/>
              <w:rtl/>
            </w:rPr>
            <w:t xml:space="preserve"> </w:t>
          </w:r>
          <w:sdt>
            <w:sdtPr>
              <w:rPr>
                <w:rtl/>
              </w:rPr>
              <w:alias w:val="1171"/>
              <w:tag w:val="1171"/>
              <w:id w:val="-1035651213"/>
              <w:text w:multiLine="1"/>
            </w:sdtPr>
            <w:sdtEndPr/>
            <w:sdtContent>
              <w:r w:rsidR="00094813">
                <w:rPr>
                  <w:b/>
                  <w:bCs/>
                  <w:noProof w:val="0"/>
                  <w:sz w:val="26"/>
                  <w:szCs w:val="26"/>
                  <w:rtl/>
                </w:rPr>
                <w:t>45658-05-24</w:t>
              </w:r>
            </w:sdtContent>
          </w:sdt>
          <w:r w:rsidR="00011212">
            <w:rPr>
              <w:b/>
              <w:bCs/>
              <w:noProof w:val="0"/>
              <w:sz w:val="26"/>
              <w:szCs w:val="26"/>
              <w:rtl/>
            </w:rPr>
            <w:t xml:space="preserve"> </w:t>
          </w:r>
          <w:sdt>
            <w:sdtPr>
              <w:rPr>
                <w:rtl/>
              </w:rPr>
              <w:alias w:val="1172"/>
              <w:tag w:val="1172"/>
              <w:id w:val="-1735694493"/>
              <w:text w:multiLine="1"/>
            </w:sdtPr>
            <w:sdtEndPr/>
            <w:sdtContent>
              <w:r w:rsidR="0054696A">
                <w:rPr>
                  <w:rFonts w:hint="cs"/>
                  <w:b/>
                  <w:bCs/>
                  <w:noProof w:val="0"/>
                  <w:sz w:val="26"/>
                  <w:szCs w:val="26"/>
                  <w:rtl/>
                </w:rPr>
                <w:t>פלוני</w:t>
              </w:r>
              <w:r w:rsidR="00094813">
                <w:rPr>
                  <w:b/>
                  <w:bCs/>
                  <w:noProof w:val="0"/>
                  <w:sz w:val="26"/>
                  <w:szCs w:val="26"/>
                  <w:rtl/>
                </w:rPr>
                <w:t xml:space="preserve"> נ' </w:t>
              </w:r>
              <w:r w:rsidR="0054696A">
                <w:rPr>
                  <w:rFonts w:hint="cs"/>
                  <w:b/>
                  <w:bCs/>
                  <w:noProof w:val="0"/>
                  <w:sz w:val="26"/>
                  <w:szCs w:val="26"/>
                  <w:rtl/>
                </w:rPr>
                <w:t>פלונית</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DB73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3811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238112&amp;lt;/CaseID&amp;gt;_x000d__x000a_        &amp;lt;CaseMonth&amp;gt;5&amp;lt;/CaseMonth&amp;gt;_x000d__x000a_        &amp;lt;CaseYear&amp;gt;2024&amp;lt;/CaseYear&amp;gt;_x000d__x000a_        &amp;lt;CaseNumber&amp;gt;45658&amp;lt;/CaseNumber&amp;gt;_x000d__x000a_        &amp;lt;NumeratorGroupID&amp;gt;1&amp;lt;/NumeratorGroupID&amp;gt;_x000d__x000a_        &amp;lt;CaseName&amp;gt;מיכאלי גרמן נ&amp;#39; מיכאלי&amp;lt;/CaseName&amp;gt;_x000d__x000a_        &amp;lt;CourtID&amp;gt;33&amp;lt;/CourtID&amp;gt;_x000d__x000a_        &amp;lt;CaseTypeID&amp;gt;10262&amp;lt;/CaseTypeID&amp;gt;_x000d__x000a_        &amp;lt;CaseInterestID&amp;gt;10513&amp;lt;/CaseInterestID&amp;gt;_x000d__x000a_        &amp;lt;CaseJudgeName&amp;gt;תומר שלם&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5658-05-24&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4-05-20T09:37: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תומר&amp;lt;/CaseJudgeFirstName&amp;gt;_x000d__x000a_        &amp;lt;CaseJudgeLastName&amp;gt;שלם&amp;lt;/CaseJudgeLastName&amp;gt;_x000d__x000a_        &amp;lt;JudicalPersonID&amp;gt;032066839@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238112&amp;lt;/CaseID&amp;gt;_x000d__x000a_        &amp;lt;CaseMonth&amp;gt;5&amp;lt;/CaseMonth&amp;gt;_x000d__x000a_        &amp;lt;CaseYear&amp;gt;2024&amp;lt;/CaseYear&amp;gt;_x000d__x000a_        &amp;lt;CaseNumber&amp;gt;45658&amp;lt;/CaseNumber&amp;gt;_x000d__x000a_        &amp;lt;NumeratorGroupID&amp;gt;1&amp;lt;/NumeratorGroupID&amp;gt;_x000d__x000a_        &amp;lt;CaseName&amp;gt;מיכאלי גרמן נ&amp;#39; מיכאלי&amp;lt;/CaseName&amp;gt;_x000d__x000a_        &amp;lt;CourtID&amp;gt;33&amp;lt;/CourtID&amp;gt;_x000d__x000a_        &amp;lt;CaseTypeID&amp;gt;10262&amp;lt;/CaseTypeID&amp;gt;_x000d__x000a_        &amp;lt;CaseInterestID&amp;gt;10513&amp;lt;/CaseInterestID&amp;gt;_x000d__x000a_        &amp;lt;CaseJudgeName&amp;gt;תומר שלם&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5658-05-24&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CaseNextDeterminingTask&amp;gt;141&amp;lt;/CaseNextDeterminingTask&amp;gt;_x000d__x000a_        &amp;lt;CaseOpenDate&amp;gt;2024-05-20T09:37: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תומר&amp;lt;/CaseJudgeFirstName&amp;gt;_x000d__x000a_        &amp;lt;CaseJudgeLastName&amp;gt;שלם&amp;lt;/CaseJudgeLastName&amp;gt;_x000d__x000a_        &amp;lt;JudicalPersonID&amp;gt;032066839@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681165&amp;lt;/DecisionID&amp;gt;_x000d__x000a_        &amp;lt;DecisionNumber&amp;gt;4&amp;lt;/DecisionNumber&amp;gt;_x000d__x000a_        &amp;lt;DecisionName&amp;gt;החלטה על בקשה של נתבע 1 בקשה למחיקת תביעה&amp;lt;/DecisionName&amp;gt;_x000d__x000a_        &amp;lt;DecisionStatusID&amp;gt;1&amp;lt;/DecisionStatusID&amp;gt;_x000d__x000a_        &amp;lt;DecisionStatusChangeDate&amp;gt;2024-09-04T12:41:04.89+03:00&amp;lt;/DecisionStatusChangeDate&amp;gt;_x000d__x000a_        &amp;lt;DecisionSignatureDate&amp;gt;2024-09-03T16:32:14.19+03:00&amp;lt;/DecisionSignatureDate&amp;gt;_x000d__x000a_        &amp;lt;DecisionSignatureUserID&amp;gt;032066839@GOV.IL&amp;lt;/DecisionSignatureUserID&amp;gt;_x000d__x000a_        &amp;lt;DecisionCreateDate&amp;gt;2024-09-03T16:37:26.03+03:00&amp;lt;/DecisionCreateDate&amp;gt;_x000d__x000a_        &amp;lt;DecisionChangeDate&amp;gt;2024-09-04T12:41:04.93+03:00&amp;lt;/DecisionChangeDate&amp;gt;_x000d__x000a_        &amp;lt;DecisionChangeUserID&amp;gt;03206683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410264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06683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066839@GOV.IL&amp;lt;/DecisionCreationUserID&amp;gt;_x000d__x000a_        &amp;lt;DecisionDisplayName&amp;gt;החלטה על בקשה של נתבע 1 בקשה למחיקת תביעה&amp;lt;/DecisionDisplayName&amp;gt;_x000d__x000a_        &amp;lt;IsScanned&amp;gt;false&amp;lt;/IsScanned&amp;gt;_x000d__x000a_        &amp;lt;DecisionSignatureUserName&amp;gt;תומר שלם&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amp;gt;_x000d__x000a_        &amp;lt;DecisionID&amp;gt;154681165&amp;lt;/DecisionID&amp;gt;_x000d__x000a_        &amp;lt;CaseID&amp;gt;81238112&amp;lt;/CaseID&amp;gt;_x000d__x000a_        &amp;lt;IsOriginal&amp;gt;true&amp;lt;/IsOriginal&amp;gt;_x000d__x000a_        &amp;lt;IsDeleted&amp;gt;false&amp;lt;/IsDeleted&amp;gt;_x000d__x000a_        &amp;lt;CaseName&amp;gt;מיכאלי גרמן נ&amp;#39; מיכאלי&amp;lt;/CaseName&amp;gt;_x000d__x000a_        &amp;lt;CaseDisplayIdentifier&amp;gt;45658-05-24 תלה&amp;quot;מ&amp;lt;/CaseDisplayIdentifier&amp;gt;_x000d__x000a_      &amp;lt;/dt_DecisionCase&amp;gt;_x000d__x000a_      &amp;lt;dt_DecisionMotion diffgr:id=&amp;quot;dt_DecisionMotion1&amp;quot; msdata:rowOrder=&amp;quot;0&amp;quot;&amp;gt;_x000d__x000a_        &amp;lt;DecisionID&amp;gt;154681165&amp;lt;/DecisionID&amp;gt;_x000d__x000a_        &amp;lt;MotionID&amp;gt;108635715&amp;lt;/MotionID&amp;gt;_x000d__x000a_        &amp;lt;IsOriginalMotion&amp;gt;true&amp;lt;/IsOriginalMotion&amp;gt;_x000d__x000a_        &amp;lt;MotionName&amp;gt;בקשה של נתבע 1 בקשה למחיקת תביעה&amp;lt;/MotionName&amp;gt;_x000d__x000a_        &amp;lt;MotionOpenDate&amp;gt;2024-07-29T08:04:24.147+03:00&amp;lt;/MotionOpenDate&amp;gt;_x000d__x000a_        &amp;lt;CaseID&amp;gt;81238112&amp;lt;/CaseID&amp;gt;_x000d__x000a_        &amp;lt;CaseDisplayIdentifier&amp;gt;45658-05-24 תלה&amp;quot;מ&amp;lt;/CaseDisplayIdentifier&amp;gt;_x000d__x000a_        &amp;lt;ProcessNumber&amp;gt;4&amp;lt;/ProcessNumber&amp;gt;_x000d__x000a_        &amp;lt;ListOfProcessIds&amp;gt;4&amp;lt;/ListOfProcessIds&amp;gt;_x000d__x000a_      &amp;lt;/dt_DecisionMotion&amp;gt;_x000d__x000a_    &amp;lt;/DecisionDS&amp;gt;_x000d__x000a_  &amp;lt;/diffgr:diffgram&amp;gt;_x000d__x000a_&amp;lt;/DecisionDS&amp;gt;"/>
    <w:docVar w:name="DecisionID" w:val="154681165"/>
    <w:docVar w:name="WordClientAssemblyName" w:val="NGCS.Decision.ClientWordBL"/>
    <w:docVar w:name="WordClientClassName" w:val="NGCS.Decision.ClientWordBL.DecisionClient"/>
  </w:docVars>
  <w:rsids>
    <w:rsidRoot w:val="002914D6"/>
    <w:rsid w:val="00011212"/>
    <w:rsid w:val="00094813"/>
    <w:rsid w:val="000B1F0C"/>
    <w:rsid w:val="000C0216"/>
    <w:rsid w:val="0014058F"/>
    <w:rsid w:val="00154312"/>
    <w:rsid w:val="00157E58"/>
    <w:rsid w:val="001E0EB7"/>
    <w:rsid w:val="00242BA8"/>
    <w:rsid w:val="002816FE"/>
    <w:rsid w:val="002914D6"/>
    <w:rsid w:val="002A5BCB"/>
    <w:rsid w:val="002F5307"/>
    <w:rsid w:val="00327B02"/>
    <w:rsid w:val="00370D4F"/>
    <w:rsid w:val="003C2B44"/>
    <w:rsid w:val="003C669B"/>
    <w:rsid w:val="004D08C6"/>
    <w:rsid w:val="00503A57"/>
    <w:rsid w:val="00530E94"/>
    <w:rsid w:val="0054696A"/>
    <w:rsid w:val="005B49EC"/>
    <w:rsid w:val="00640A9B"/>
    <w:rsid w:val="00682CBD"/>
    <w:rsid w:val="006C6FEF"/>
    <w:rsid w:val="006D4485"/>
    <w:rsid w:val="00712D95"/>
    <w:rsid w:val="00720A79"/>
    <w:rsid w:val="007D433A"/>
    <w:rsid w:val="00822AA5"/>
    <w:rsid w:val="00864848"/>
    <w:rsid w:val="00941E0E"/>
    <w:rsid w:val="00946045"/>
    <w:rsid w:val="009F6AD6"/>
    <w:rsid w:val="00A275A0"/>
    <w:rsid w:val="00A54660"/>
    <w:rsid w:val="00A7661B"/>
    <w:rsid w:val="00B31305"/>
    <w:rsid w:val="00B55703"/>
    <w:rsid w:val="00C226D6"/>
    <w:rsid w:val="00C4515A"/>
    <w:rsid w:val="00CB35FE"/>
    <w:rsid w:val="00CE192E"/>
    <w:rsid w:val="00CE7F78"/>
    <w:rsid w:val="00D23F58"/>
    <w:rsid w:val="00D37496"/>
    <w:rsid w:val="00D544C3"/>
    <w:rsid w:val="00D91B79"/>
    <w:rsid w:val="00DB6B09"/>
    <w:rsid w:val="00E13434"/>
    <w:rsid w:val="00E26C80"/>
    <w:rsid w:val="00E31A43"/>
    <w:rsid w:val="00E72945"/>
    <w:rsid w:val="00EA2C05"/>
    <w:rsid w:val="00EC08AF"/>
    <w:rsid w:val="00EE20FC"/>
    <w:rsid w:val="00F1144E"/>
    <w:rsid w:val="00F20DAA"/>
    <w:rsid w:val="00F50E07"/>
    <w:rsid w:val="00F72537"/>
    <w:rsid w:val="00F73645"/>
    <w:rsid w:val="00FF092B"/>
    <w:rsid w:val="00FF18E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E26C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617491">
      <w:bodyDiv w:val="1"/>
      <w:marLeft w:val="0"/>
      <w:marRight w:val="0"/>
      <w:marTop w:val="0"/>
      <w:marBottom w:val="0"/>
      <w:divBdr>
        <w:top w:val="none" w:sz="0" w:space="0" w:color="auto"/>
        <w:left w:val="none" w:sz="0" w:space="0" w:color="auto"/>
        <w:bottom w:val="none" w:sz="0" w:space="0" w:color="auto"/>
        <w:right w:val="none" w:sz="0" w:space="0" w:color="auto"/>
      </w:divBdr>
    </w:div>
    <w:div w:id="110003047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8892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81238112</CaseID>
    <CaseJudicialPersonPresentationDS>
      <CaseJudicalPersonActive>
        <CaseID>81238112</CaseID>
        <MotionID>108635715</MotionID>
        <JudicialPersonID>032066839@GOV.IL</JudicialPersonID>
        <JudicialPersonTypeID>1</JudicialPersonTypeID>
        <JudicialTypeID>1</JudicialTypeID>
        <IsChairman>false</IsChairman>
        <TreatmentStartDate>2024-07-29T08:04:24.21+03:00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יהונתן קניר</FullName>
        <FirstName>יהונתן</FirstName>
        <LastName>קניר</LastName>
        <PartyPropertyName/>
        <AuthenticationTypeAndNumber>מ.ר. 42223</AuthenticationTypeAndNumber>
        <RepresentatedOrRepresentativesNames>יורם מיכאלי</RepresentatedOrRepresentativesNames>
        <RepresentatedOrRepresentativesCount>1</RepresentatedOrRepresentativesCount>
        <InvitedBy/>
        <CaseID>81238112</CaseID>
        <CaseJudicialPersonPresentationDS>
          <CaseJudicalPersonActive>
            <CaseID>81238112</CaseID>
            <MotionID>108635715</MotionID>
            <JudicialPersonID>032066839@GOV.IL</JudicialPersonID>
            <JudicialPersonTypeID>1</JudicialPersonTypeID>
            <JudicialTypeID>1</JudicialTypeID>
            <IsChairman>false</IsChairman>
            <TreatmentStartDate>2024-07-29T08:04:24.21+03:00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270838051</CasePartyID>
        <PartyTypeID>2</PartyTypeID>
        <ActivityStatusID>1</ActivityStatusID>
        <PartyAliasID>21</PartyAliasID>
        <PartyAliasName>בא כוח נתבעים</PartyAliasName>
        <LegalEntityID>3487511</LegalEntityID>
        <CaseLegalEntityID>129085641</CaseLegalEntityID>
        <AuthenticationTypeID>4</AuthenticationTypeID>
        <AuthenticationTypeName>מ.ר.</AuthenticationTypeName>
        <LegalEntityNumber>42223</LegalEntityNumber>
        <IsMainPartyType>true</IsMainPartyType>
        <CaseDisplayIdentifier>45658-05-24</CaseDisplayIdentifier>
        <CaseTypeID>10262</CaseTypeID>
        <CaseTypeName>תביעה לאחר הסדר התדיינויות במשפחה (תלה"מ)</CaseTypeName>
        <CaseName>מיכאלי גרמן נ' מיכאלי</CaseName>
        <FullAddress>דוד המלך 1 תל אביב -יפו </FullAddress>
        <EmailAddress>yonathan@kanirlaw.co.il</EmailAddress>
        <MotionID>0</MotionID>
        <CasePleaID>0</CasePleaID>
        <LinkedCaseID>0</LinkedCaseID>
        <PartyID>2</PartyID>
        <CasePartyCategoryID>2</CasePartyCategoryID>
        <LegalEntityAddressID>425589</LegalEntityAddressID>
        <LegalEntityEmailAddressID>68132444</LegalEntityEmailAddressID>
        <PleaTypeID>4</PleaTypeID>
        <LawyerOfficeName>משרד עו"ד: פסח קניר</LawyerOfficeName>
        <LawyerOfficeID>423251</LawyerOfficeID>
        <GroupPartyAlias/>
        <IsConverted>false</IsConverted>
        <LegalEntityNameID>3123312</LegalEntityNameID>
        <RepresentatedNamesOfAssistant/>
        <LegalEntityTypeID>4</LegalEntityTypeID>
        <IsVerdictExists>false</IsVerdictExists>
        <IsAsirAzir>false</IsAsirAzir>
        <MainAndSecSpec/>
        <IsPublicationProhibited>false</IsPublicationProhibited>
        <PublicationProhibitedFullName>יהונתן קניר</PublicationProhibitedFullName>
      </CaseParties>
      <CaseParties>
        <PartyTypeName>צד</PartyTypeName>
        <ProceedingType>בקשות</ProceedingType>
        <PleaName>בקשה של נתבע 1 בקשה למחיקת תביעה</PleaName>
        <PartyBelonging>צד א'</PartyBelonging>
        <RoleName>מבקש 1</RoleName>
        <IsSubProceeding>TRUE</IsSubProceeding>
        <FullName>יורם מיכאלי</FullName>
        <FirstName>יורם</FirstName>
        <LastName>מיכאלי</LastName>
        <PartyPropertyName/>
        <AuthenticationTypeAndNumber>ת"ז 056599525</AuthenticationTypeAndNumber>
        <RepresentatedOrRepresentativesNames>יהונתן קניר</RepresentatedOrRepresentativesNames>
        <RepresentatedOrRepresentativesCount>1</RepresentatedOrRepresentativesCount>
        <InvitedBy/>
        <CaseID>81238112</CaseID>
        <CaseJudicialPersonPresentationDS>
          <CaseJudicalPersonActive>
            <CaseID>81238112</CaseID>
            <MotionID>108635715</MotionID>
            <JudicialPersonID>032066839@GOV.IL</JudicialPersonID>
            <JudicialPersonTypeID>1</JudicialPersonTypeID>
            <JudicialTypeID>1</JudicialTypeID>
            <IsChairman>false</IsChairman>
            <TreatmentStartDate>2024-07-29T08:04:24.21+03:00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273334684</CasePartyID>
        <PartyTypeID>1</PartyTypeID>
        <ActivityStatusID>1</ActivityStatusID>
        <PartyAliasID>3</PartyAliasID>
        <PartyAliasName>מבקש</PartyAliasName>
        <OrdinalNumber>1</OrdinalNumber>
        <LegalEntityID>492820</LegalEntityID>
        <CaseLegalEntityID>128926220</CaseLegalEntityID>
        <AuthenticationTypeID>1</AuthenticationTypeID>
        <AuthenticationTypeName>ת"ז</AuthenticationTypeName>
        <LegalEntityNumber>056599525</LegalEntityNumber>
        <IsMainPartyType>false</IsMainPartyType>
        <CaseDisplayIdentifier>45658-05-24</CaseDisplayIdentifier>
        <CaseTypeID>10262</CaseTypeID>
        <CaseTypeName>תביעה לאחר הסדר התדיינויות במשפחה (תלה"מ)</CaseTypeName>
        <CaseName>מיכאלי גרמן נ' מיכאלי</CaseName>
        <FullAddress>השר משה 6 רמת גן </FullAddress>
        <MotionID>108635715</MotionID>
        <CasePleaID>0</CasePleaID>
        <FatherName>אשר</FatherName>
        <LinkedCaseID>0</LinkedCaseID>
        <PartyID>1</PartyID>
        <CasePartyCategoryID>4</CasePartyCategoryID>
        <LegalEntityAddressID>89316065</LegalEntityAddressID>
        <PleaTypeID>60</PleaTypeID>
        <GroupPartyAlias>מבקשים</GroupPartyAlias>
        <IsConverted>false</IsConverted>
        <LegalEntityRegisteredNameID>345851</LegalEntityRegisteredNameID>
        <LegalEntityNameID>96584078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יורם מיכאלי</PublicationProhibitedFullName>
      </CaseParties>
      <CaseParties>
        <PartyTypeName>צד</PartyTypeName>
        <ProceedingType>בקשות</ProceedingType>
        <PleaName>בקשה של נתבע 1 בקשה למחיקת תביעה</PleaName>
        <PartyBelonging>צד ב'</PartyBelonging>
        <RoleName>משיב 1</RoleName>
        <IsSubProceeding>TRUE</IsSubProceeding>
        <FullName>רבקה מיכאלי</FullName>
        <FirstName>רבקה</FirstName>
        <LastName>מיכאלי</LastName>
        <PartyPropertyName/>
        <AuthenticationTypeAndNumber>ת"ז 056544034</AuthenticationTypeAndNumber>
        <RepresentatedOrRepresentativesNames>איתן שלו סולקין</RepresentatedOrRepresentativesNames>
        <RepresentatedOrRepresentativesCount>1</RepresentatedOrRepresentativesCount>
        <InvitedBy/>
        <CaseID>81238112</CaseID>
        <CaseJudicialPersonPresentationDS>
          <CaseJudicalPersonActive>
            <CaseID>81238112</CaseID>
            <MotionID>108635715</MotionID>
            <JudicialPersonID>032066839@GOV.IL</JudicialPersonID>
            <JudicialPersonTypeID>1</JudicialPersonTypeID>
            <JudicialTypeID>1</JudicialTypeID>
            <IsChairman>false</IsChairman>
            <TreatmentStartDate>2024-07-29T08:04:24.21+03:00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273334685</CasePartyID>
        <PartyTypeID>1</PartyTypeID>
        <ActivityStatusID>1</ActivityStatusID>
        <PartyAliasID>4</PartyAliasID>
        <PartyAliasName>משיב</PartyAliasName>
        <OrdinalNumber>1</OrdinalNumber>
        <LegalEntityID>492798</LegalEntityID>
        <CaseLegalEntityID>128926218</CaseLegalEntityID>
        <AuthenticationTypeID>1</AuthenticationTypeID>
        <AuthenticationTypeName>ת"ז</AuthenticationTypeName>
        <LegalEntityNumber>056544034</LegalEntityNumber>
        <IsMainPartyType>false</IsMainPartyType>
        <CaseDisplayIdentifier>45658-05-24</CaseDisplayIdentifier>
        <CaseTypeID>10262</CaseTypeID>
        <CaseTypeName>תביעה לאחר הסדר התדיינויות במשפחה (תלה"מ)</CaseTypeName>
        <CaseName>מיכאלי גרמן נ' מיכאלי</CaseName>
        <FullAddress>בשר משה 6 רמת גן </FullAddress>
        <MotionID>108635715</MotionID>
        <CasePleaID>0</CasePleaID>
        <FatherName>משה</FatherName>
        <LinkedCaseID>0</LinkedCaseID>
        <PartyID>2</PartyID>
        <CasePartyCategoryID>4</CasePartyCategoryID>
        <LegalEntityAddressID>89316064</LegalEntityAddressID>
        <PleaTypeID>60</PleaTypeID>
        <GroupPartyAlias>משיבים</GroupPartyAlias>
        <IsConverted>false</IsConverted>
        <LegalEntityRegisteredNameID>10370771</LegalEntityRegisteredNameID>
        <LegalEntityNameID>96584077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רבקה מיכאלי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איתן שלו סולקין</FullName>
        <FirstName>איתן</FirstName>
        <LastName>שלו סולקין</LastName>
        <PartyPropertyName/>
        <AuthenticationTypeAndNumber>מ.ר. 43909</AuthenticationTypeAndNumber>
        <RepresentatedOrRepresentativesNames>רבקה מיכאלי</RepresentatedOrRepresentativesNames>
        <RepresentatedOrRepresentativesCount>1</RepresentatedOrRepresentativesCount>
        <InvitedBy/>
        <CaseID>81238112</CaseID>
        <CaseJudicialPersonPresentationDS>
          <CaseJudicalPersonActive>
            <CaseID>81238112</CaseID>
            <MotionID>108635715</MotionID>
            <JudicialPersonID>032066839@GOV.IL</JudicialPersonID>
            <JudicialPersonTypeID>1</JudicialPersonTypeID>
            <JudicialTypeID>1</JudicialTypeID>
            <IsChairman>false</IsChairman>
            <TreatmentStartDate>2024-07-29T08:04:24.21+03:00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270317017</CasePartyID>
        <PartyTypeID>2</PartyTypeID>
        <ActivityStatusID>1</ActivityStatusID>
        <PartyAliasID>20</PartyAliasID>
        <PartyAliasName>בא כוח תובעים</PartyAliasName>
        <OrdinalNumber>1</OrdinalNumber>
        <LegalEntityID>7580726</LegalEntityID>
        <CaseLegalEntityID>128926219</CaseLegalEntityID>
        <AuthenticationTypeID>4</AuthenticationTypeID>
        <AuthenticationTypeName>מ.ר.</AuthenticationTypeName>
        <LegalEntityNumber>43909</LegalEntityNumber>
        <IsMainPartyType>true</IsMainPartyType>
        <CaseDisplayIdentifier>45658-05-24</CaseDisplayIdentifier>
        <CaseTypeID>10262</CaseTypeID>
        <CaseTypeName>תביעה לאחר הסדר התדיינויות במשפחה (תלה"מ)</CaseTypeName>
        <CaseName>מיכאלי גרמן נ' מיכאלי</CaseName>
        <FullAddress>מנחם בגין 154 תל אביב -יפו קומה 3</FullAddress>
        <EmailAddress>suzyshalev@gmail.com</EmailAddress>
        <MotionID>0</MotionID>
        <CasePleaID>0</CasePleaID>
        <LinkedCaseID>0</LinkedCaseID>
        <PartyID>1</PartyID>
        <CasePartyCategoryID>2</CasePartyCategoryID>
        <LegalEntityAddressID>89485324</LegalEntityAddressID>
        <LegalEntityEmailAddressID>68088378</LegalEntityEmailAddressID>
        <PleaTypeID>4</PleaTypeID>
        <LawyerOfficeName>משרד עו"ד: סוזי שלו</LawyerOfficeName>
        <LawyerOfficeID>429120</LawyerOfficeID>
        <GroupPartyAlias/>
        <IsConverted>false</IsConverted>
        <LegalEntityNameID>7257437</LegalEntityNameID>
        <RepresentatedNamesOfAssistant/>
        <LegalEntityTypeID>4</LegalEntityTypeID>
        <IsVerdictExists>false</IsVerdictExists>
        <IsAsirAzir>false</IsAsirAzir>
        <MainAndSecSpec/>
        <IsPublicationProhibited>false</IsPublicationProhibited>
        <PublicationProhibitedFullName>איתן שלו סולקין</PublicationProhibitedFullName>
      </CaseParties>
    </CasePartiesSelectionDS>
    <DecisionName>החלטה</DecisionName>
    <CourtDisplayName>בית משפט לענייני משפחה בתל אביב -יפו</CourtDisplayName>
    <IsCaseJudgePanel>false</IsCaseJudgePanel>
    <DecisionSignatureDate>2024-09-03T16:32:14.189368+03:00</DecisionSignatureDate>
    <OpenCaseDate>2024-05-20T09:37:00+03:00</OpenCaseDate>
    <CaseFeeSum>0.000</CaseFeeSum>
    <DecisionTypeID>1</DecisionTypeID>
    <DecisionSignatureUserName>תומר שלם</DecisionSignatureUserName>
    <MotionID>108635715</MotionID>
    <DecisionSignatureDateHebrew>2024-09-03T16:32:14.189368+03:00</DecisionSignatureDateHebrew>
    <MotionNumber>4</MotionNumber>
    <DecisionWriterID>032066839@GOV.IL</DecisionWriterID>
    <CourtAddress>רח' ויצמן 1, תל אביב -יפו 64239</CourtAddress>
    <IsAutoTextInCaseExist>false</IsAutoTextInCaseExist>
    <DecisionSignatureRoleName>שופט</DecisionSignatureRoleName>
    <DecisionSignatureUserTitleName>שופט</DecisionSignatureUserTitleName>
    <CaseName>מיכאלי גרמן נ' מיכאלי</CaseName>
    <DecisionNumberInCase>10</DecisionNumberInCase>
  </dt_Decision>
  <dt_DecisionCase>
    <DecisionID>0</DecisionID>
    <CaseID>81238112</CaseID>
    <CaseJudicialPersonPresentationDS>
      <CaseJudicalPersonActive>
        <CaseID>81238112</CaseID>
        <MotionID>108635715</MotionID>
        <JudicialPersonID>032066839@GOV.IL</JudicialPersonID>
        <JudicialPersonTypeID>1</JudicialPersonTypeID>
        <JudicialTypeID>1</JudicialTypeID>
        <IsChairman>false</IsChairman>
        <TreatmentStartDate>2024-07-29T08:04:24.21+03:00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יהונתן קניר</FullName>
        <FirstName>יהונתן</FirstName>
        <LastName>קניר</LastName>
        <PartyPropertyName/>
        <AuthenticationTypeAndNumber>מ.ר. 42223</AuthenticationTypeAndNumber>
        <RepresentatedOrRepresentativesNames>יורם מיכאלי</RepresentatedOrRepresentativesNames>
        <RepresentatedOrRepresentativesCount>1</RepresentatedOrRepresentativesCount>
        <InvitedBy/>
        <CaseID>81238112</CaseID>
        <CaseJudicialPersonPresentationDS>
          <CaseJudicalPersonActive>
            <CaseID>81238112</CaseID>
            <MotionID>108635715</MotionID>
            <JudicialPersonID>032066839@GOV.IL</JudicialPersonID>
            <JudicialPersonTypeID>1</JudicialPersonTypeID>
            <JudicialTypeID>1</JudicialTypeID>
            <IsChairman>false</IsChairman>
            <TreatmentStartDate>2024-07-29T08:04:24.21+03:00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270838051</CasePartyID>
        <PartyTypeID>2</PartyTypeID>
        <ActivityStatusID>1</ActivityStatusID>
        <PartyAliasID>21</PartyAliasID>
        <PartyAliasName>בא כוח נתבעים</PartyAliasName>
        <LegalEntityID>3487511</LegalEntityID>
        <CaseLegalEntityID>129085641</CaseLegalEntityID>
        <AuthenticationTypeID>4</AuthenticationTypeID>
        <AuthenticationTypeName>מ.ר.</AuthenticationTypeName>
        <LegalEntityNumber>42223</LegalEntityNumber>
        <IsMainPartyType>true</IsMainPartyType>
        <CaseDisplayIdentifier>45658-05-24</CaseDisplayIdentifier>
        <CaseTypeID>10262</CaseTypeID>
        <CaseTypeName>תביעה לאחר הסדר התדיינויות במשפחה (תלה"מ)</CaseTypeName>
        <CaseName>מיכאלי גרמן נ' מיכאלי</CaseName>
        <FullAddress>דוד המלך 1 תל אביב -יפו </FullAddress>
        <EmailAddress>yonathan@kanirlaw.co.il</EmailAddress>
        <MotionID>0</MotionID>
        <CasePleaID>0</CasePleaID>
        <LinkedCaseID>0</LinkedCaseID>
        <PartyID>2</PartyID>
        <CasePartyCategoryID>2</CasePartyCategoryID>
        <LegalEntityAddressID>425589</LegalEntityAddressID>
        <LegalEntityEmailAddressID>68132444</LegalEntityEmailAddressID>
        <PleaTypeID>4</PleaTypeID>
        <LawyerOfficeName>משרד עו"ד: פסח קניר</LawyerOfficeName>
        <LawyerOfficeID>423251</LawyerOfficeID>
        <GroupPartyAlias/>
        <IsConverted>false</IsConverted>
        <LegalEntityNameID>3123312</LegalEntityNameID>
        <RepresentatedNamesOfAssistant/>
        <LegalEntityTypeID>4</LegalEntityTypeID>
        <IsVerdictExists>false</IsVerdictExists>
        <IsAsirAzir>false</IsAsirAzir>
        <MainAndSecSpec/>
        <IsPublicationProhibited>false</IsPublicationProhibited>
        <PublicationProhibitedFullName>יהונתן קניר</PublicationProhibitedFullName>
      </CaseParties>
      <CaseParties>
        <PartyTypeName>צד</PartyTypeName>
        <ProceedingType>בקשות</ProceedingType>
        <PleaName>בקשה של נתבע 1 בקשה למחיקת תביעה</PleaName>
        <PartyBelonging>צד א'</PartyBelonging>
        <RoleName>מבקש 1</RoleName>
        <IsSubProceeding>TRUE</IsSubProceeding>
        <FullName>יורם מיכאלי</FullName>
        <FirstName>יורם</FirstName>
        <LastName>מיכאלי</LastName>
        <PartyPropertyName/>
        <AuthenticationTypeAndNumber>ת"ז 056599525</AuthenticationTypeAndNumber>
        <RepresentatedOrRepresentativesNames>יהונתן קניר</RepresentatedOrRepresentativesNames>
        <RepresentatedOrRepresentativesCount>1</RepresentatedOrRepresentativesCount>
        <InvitedBy/>
        <CaseID>81238112</CaseID>
        <CaseJudicialPersonPresentationDS>
          <CaseJudicalPersonActive>
            <CaseID>81238112</CaseID>
            <MotionID>108635715</MotionID>
            <JudicialPersonID>032066839@GOV.IL</JudicialPersonID>
            <JudicialPersonTypeID>1</JudicialPersonTypeID>
            <JudicialTypeID>1</JudicialTypeID>
            <IsChairman>false</IsChairman>
            <TreatmentStartDate>2024-07-29T08:04:24.21+03:00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273334684</CasePartyID>
        <PartyTypeID>1</PartyTypeID>
        <ActivityStatusID>1</ActivityStatusID>
        <PartyAliasID>3</PartyAliasID>
        <PartyAliasName>מבקש</PartyAliasName>
        <OrdinalNumber>1</OrdinalNumber>
        <LegalEntityID>492820</LegalEntityID>
        <CaseLegalEntityID>128926220</CaseLegalEntityID>
        <AuthenticationTypeID>1</AuthenticationTypeID>
        <AuthenticationTypeName>ת"ז</AuthenticationTypeName>
        <LegalEntityNumber>056599525</LegalEntityNumber>
        <IsMainPartyType>false</IsMainPartyType>
        <CaseDisplayIdentifier>45658-05-24</CaseDisplayIdentifier>
        <CaseTypeID>10262</CaseTypeID>
        <CaseTypeName>תביעה לאחר הסדר התדיינויות במשפחה (תלה"מ)</CaseTypeName>
        <CaseName>מיכאלי גרמן נ' מיכאלי</CaseName>
        <FullAddress>השר משה 6 רמת גן </FullAddress>
        <MotionID>108635715</MotionID>
        <CasePleaID>0</CasePleaID>
        <FatherName>אשר</FatherName>
        <LinkedCaseID>0</LinkedCaseID>
        <PartyID>1</PartyID>
        <CasePartyCategoryID>4</CasePartyCategoryID>
        <LegalEntityAddressID>89316065</LegalEntityAddressID>
        <PleaTypeID>60</PleaTypeID>
        <GroupPartyAlias>מבקשים</GroupPartyAlias>
        <IsConverted>false</IsConverted>
        <LegalEntityRegisteredNameID>345851</LegalEntityRegisteredNameID>
        <LegalEntityNameID>96584078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יורם מיכאלי</PublicationProhibitedFullName>
      </CaseParties>
      <CaseParties>
        <PartyTypeName>צד</PartyTypeName>
        <ProceedingType>בקשות</ProceedingType>
        <PleaName>בקשה של נתבע 1 בקשה למחיקת תביעה</PleaName>
        <PartyBelonging>צד ב'</PartyBelonging>
        <RoleName>משיב 1</RoleName>
        <IsSubProceeding>TRUE</IsSubProceeding>
        <FullName>רבקה מיכאלי</FullName>
        <FirstName>רבקה</FirstName>
        <LastName>מיכאלי</LastName>
        <PartyPropertyName/>
        <AuthenticationTypeAndNumber>ת"ז 056544034</AuthenticationTypeAndNumber>
        <RepresentatedOrRepresentativesNames>איתן שלו סולקין</RepresentatedOrRepresentativesNames>
        <RepresentatedOrRepresentativesCount>1</RepresentatedOrRepresentativesCount>
        <InvitedBy/>
        <CaseID>81238112</CaseID>
        <CaseJudicialPersonPresentationDS>
          <CaseJudicalPersonActive>
            <CaseID>81238112</CaseID>
            <MotionID>108635715</MotionID>
            <JudicialPersonID>032066839@GOV.IL</JudicialPersonID>
            <JudicialPersonTypeID>1</JudicialPersonTypeID>
            <JudicialTypeID>1</JudicialTypeID>
            <IsChairman>false</IsChairman>
            <TreatmentStartDate>2024-07-29T08:04:24.21+03:00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273334685</CasePartyID>
        <PartyTypeID>1</PartyTypeID>
        <ActivityStatusID>1</ActivityStatusID>
        <PartyAliasID>4</PartyAliasID>
        <PartyAliasName>משיב</PartyAliasName>
        <OrdinalNumber>1</OrdinalNumber>
        <LegalEntityID>492798</LegalEntityID>
        <CaseLegalEntityID>128926218</CaseLegalEntityID>
        <AuthenticationTypeID>1</AuthenticationTypeID>
        <AuthenticationTypeName>ת"ז</AuthenticationTypeName>
        <LegalEntityNumber>056544034</LegalEntityNumber>
        <IsMainPartyType>false</IsMainPartyType>
        <CaseDisplayIdentifier>45658-05-24</CaseDisplayIdentifier>
        <CaseTypeID>10262</CaseTypeID>
        <CaseTypeName>תביעה לאחר הסדר התדיינויות במשפחה (תלה"מ)</CaseTypeName>
        <CaseName>מיכאלי גרמן נ' מיכאלי</CaseName>
        <FullAddress>בשר משה 6 רמת גן </FullAddress>
        <MotionID>108635715</MotionID>
        <CasePleaID>0</CasePleaID>
        <FatherName>משה</FatherName>
        <LinkedCaseID>0</LinkedCaseID>
        <PartyID>2</PartyID>
        <CasePartyCategoryID>4</CasePartyCategoryID>
        <LegalEntityAddressID>89316064</LegalEntityAddressID>
        <PleaTypeID>60</PleaTypeID>
        <GroupPartyAlias>משיבים</GroupPartyAlias>
        <IsConverted>false</IsConverted>
        <LegalEntityRegisteredNameID>10370771</LegalEntityRegisteredNameID>
        <LegalEntityNameID>96584077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רבקה מיכאלי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איתן שלו סולקין</FullName>
        <FirstName>איתן</FirstName>
        <LastName>שלו סולקין</LastName>
        <PartyPropertyName/>
        <AuthenticationTypeAndNumber>מ.ר. 43909</AuthenticationTypeAndNumber>
        <RepresentatedOrRepresentativesNames>רבקה מיכאלי</RepresentatedOrRepresentativesNames>
        <RepresentatedOrRepresentativesCount>1</RepresentatedOrRepresentativesCount>
        <InvitedBy/>
        <CaseID>81238112</CaseID>
        <CaseJudicialPersonPresentationDS>
          <CaseJudicalPersonActive>
            <CaseID>81238112</CaseID>
            <MotionID>108635715</MotionID>
            <JudicialPersonID>032066839@GOV.IL</JudicialPersonID>
            <JudicialPersonTypeID>1</JudicialPersonTypeID>
            <JudicialTypeID>1</JudicialTypeID>
            <IsChairman>false</IsChairman>
            <TreatmentStartDate>2024-07-29T08:04:24.21+03:00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270317017</CasePartyID>
        <PartyTypeID>2</PartyTypeID>
        <ActivityStatusID>1</ActivityStatusID>
        <PartyAliasID>20</PartyAliasID>
        <PartyAliasName>בא כוח תובעים</PartyAliasName>
        <OrdinalNumber>1</OrdinalNumber>
        <LegalEntityID>7580726</LegalEntityID>
        <CaseLegalEntityID>128926219</CaseLegalEntityID>
        <AuthenticationTypeID>4</AuthenticationTypeID>
        <AuthenticationTypeName>מ.ר.</AuthenticationTypeName>
        <LegalEntityNumber>43909</LegalEntityNumber>
        <IsMainPartyType>true</IsMainPartyType>
        <CaseDisplayIdentifier>45658-05-24</CaseDisplayIdentifier>
        <CaseTypeID>10262</CaseTypeID>
        <CaseTypeName>תביעה לאחר הסדר התדיינויות במשפחה (תלה"מ)</CaseTypeName>
        <CaseName>מיכאלי גרמן נ' מיכאלי</CaseName>
        <FullAddress>מנחם בגין 154 תל אביב -יפו קומה 3</FullAddress>
        <EmailAddress>suzyshalev@gmail.com</EmailAddress>
        <MotionID>0</MotionID>
        <CasePleaID>0</CasePleaID>
        <LinkedCaseID>0</LinkedCaseID>
        <PartyID>1</PartyID>
        <CasePartyCategoryID>2</CasePartyCategoryID>
        <LegalEntityAddressID>89485324</LegalEntityAddressID>
        <LegalEntityEmailAddressID>68088378</LegalEntityEmailAddressID>
        <PleaTypeID>4</PleaTypeID>
        <LawyerOfficeName>משרד עו"ד: סוזי שלו</LawyerOfficeName>
        <LawyerOfficeID>429120</LawyerOfficeID>
        <GroupPartyAlias/>
        <IsConverted>false</IsConverted>
        <LegalEntityNameID>7257437</LegalEntityNameID>
        <RepresentatedNamesOfAssistant/>
        <LegalEntityTypeID>4</LegalEntityTypeID>
        <IsVerdictExists>false</IsVerdictExists>
        <IsAsirAzir>false</IsAsirAzir>
        <MainAndSecSpec/>
        <IsPublicationProhibited>false</IsPublicationProhibited>
        <PublicationProhibitedFullName>איתן שלו סולקין</PublicationProhibitedFullName>
      </CaseParties>
    </CasePartiesSelectionDS>
    <CaseName>מיכאלי גרמן נ' מיכאלי</CaseName>
    <CaseDisplayIdentifier>45658-05-24</CaseDisplayIdentifier>
    <CaseInterestID>10513</CaseInterestID>
    <CaseTypeShortName>תלה"מ</CaseTypeShortName>
  </dt_DecisionCase>
  <dt_DecisionJudgePanel>
    <JudgeID>032066839@GOV.IL</JudgeID>
    <DisplayName>תומר שלם</DisplayName>
    <RoleName>שופט</RoleName>
    <UserTitleName>שופט</UserTitleName>
  </dt_DecisionJudgePanel>
  <dt_LegalEntityDetails>
    <Fax>03-6960907</Fax>
    <Phone>03-6916375</Phone>
    <PartyID>2</PartyID>
    <PartyTypeID>2</PartyTypeID>
    <DecisionID>0</DecisionID>
    <StreetName>דוד המלך 1</StreetName>
    <ZipCode>64953</ZipCode>
    <CityName>תל אביב -יפו</CityName>
    <FullName>יהונתן קניר</FullName>
    <Email>yonathan@kanirlaw.co.il</Email>
    <IsPublicationProhibited>false</IsPublicationProhibited>
  </dt_LegalEntityDetails>
  <dt_LegalEntityDetails>
    <PartyID>1</PartyID>
    <PartyTypeID>1</PartyTypeID>
    <DecisionID>0</DecisionID>
    <StreetName>בשר משה 6</StreetName>
    <CityName>רמת גן</CityName>
    <FullName>רבקה מיכאלי</FullName>
    <IsPublicationProhibited>false</IsPublicationProhibited>
  </dt_LegalEntityDetails>
  <dt_LegalEntityDetails>
    <Fax>03-6083567</Fax>
    <Phone>03-6083565</Phone>
    <AddressDesc>קומה 3</AddressDesc>
    <PartyID>1</PartyID>
    <PartyTypeID>2</PartyTypeID>
    <DecisionID>0</DecisionID>
    <StreetName>מנחם בגין 154</StreetName>
    <CityName>תל אביב -יפו</CityName>
    <FullName>איתן שלו סולקין</FullName>
    <Email>suzyshalev@gmail.com</Email>
    <IsPublicationProhibited>false</IsPublicationProhibited>
  </dt_LegalEntityDetails>
  <dt_LegalEntityDetails>
    <PartyID>2</PartyID>
    <PartyTypeID>1</PartyTypeID>
    <DecisionID>0</DecisionID>
    <StreetName>השר משה 6</StreetName>
    <CityName>רמת גן</CityName>
    <FullName>יורם מיכאלי</FullName>
    <IsPublicationProhibited>false</IsPublicationProhibited>
  </dt_LegalEntityDetails>
  <dt_CaseJudicalPersonActive>
    <CaseJudicalPerson>שופט תומר שלם</CaseJudicalPerson>
  </dt_CaseJudicalPersonActive>
  <dt_Sitting>
    <FutureSittingDate>2024-10-15T14:00:00+03:00</FutureSittingDate>
    <NextSittingTypeID>1</NextSittingTypeID>
    <NextMeetingDisplayName>שופט תומר שלם</NextMeetingDisplayName>
    <NextMeetingRoleName>שופט</NextMeetingRoleName>
    <NextMeetingUserTitleName>שופט</NextMeetingUserTitleName>
    <NextMeetingUserUPN>032066839@GOV.IL</Next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D79EC-3649-4E9C-9F7E-B54078D2C2A4}">
  <ds:schemaRefs/>
</ds:datastoreItem>
</file>

<file path=customXml/itemProps2.xml><?xml version="1.0" encoding="utf-8"?>
<ds:datastoreItem xmlns:ds="http://schemas.openxmlformats.org/officeDocument/2006/customXml" ds:itemID="{150D7517-E261-44E9-A079-BB7099C37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1775</Words>
  <Characters>8876</Characters>
  <Application>Microsoft Office Word</Application>
  <DocSecurity>0</DocSecurity>
  <Lines>73</Lines>
  <Paragraphs>21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מוטי גולן</cp:lastModifiedBy>
  <cp:revision>2</cp:revision>
  <dcterms:created xsi:type="dcterms:W3CDTF">2024-09-16T14:03:00Z</dcterms:created>
  <dcterms:modified xsi:type="dcterms:W3CDTF">2024-09-16T14:03:00Z</dcterms:modified>
</cp:coreProperties>
</file>